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8C992" w14:textId="13D12F84" w:rsidR="00A6295D" w:rsidRPr="0078588F" w:rsidRDefault="00143F8C" w:rsidP="00A6295D">
      <w:pPr>
        <w:jc w:val="right"/>
        <w:rPr>
          <w:rFonts w:ascii="Arial" w:hAnsi="Arial" w:cs="Arial"/>
          <w:b/>
          <w:sz w:val="24"/>
          <w:szCs w:val="24"/>
          <w:lang w:val="el-GR"/>
        </w:rPr>
      </w:pPr>
      <w:r w:rsidRPr="00143F8C">
        <w:rPr>
          <w:rFonts w:ascii="Arial" w:hAnsi="Arial" w:cs="Arial"/>
          <w:b/>
          <w:sz w:val="24"/>
          <w:szCs w:val="24"/>
          <w:lang w:val="el-GR"/>
        </w:rPr>
        <w:t>Έντυπο</w:t>
      </w:r>
      <w:r w:rsidR="00C07833" w:rsidRPr="0078588F">
        <w:rPr>
          <w:rFonts w:ascii="Arial" w:hAnsi="Arial" w:cs="Arial"/>
          <w:b/>
          <w:sz w:val="24"/>
          <w:szCs w:val="24"/>
          <w:lang w:val="el-GR"/>
        </w:rPr>
        <w:t xml:space="preserve"> </w:t>
      </w:r>
      <w:r w:rsidR="004F01AD" w:rsidRPr="004F01AD">
        <w:rPr>
          <w:rFonts w:ascii="Arial" w:hAnsi="Arial" w:cs="Arial"/>
          <w:b/>
          <w:sz w:val="24"/>
          <w:szCs w:val="24"/>
          <w:lang w:val="el-GR"/>
        </w:rPr>
        <w:t>300.1.2</w:t>
      </w:r>
      <w:r w:rsidR="004F01AD">
        <w:rPr>
          <w:rFonts w:ascii="Arial" w:hAnsi="Arial" w:cs="Arial"/>
          <w:b/>
          <w:sz w:val="24"/>
          <w:szCs w:val="24"/>
          <w:lang w:val="el-GR"/>
        </w:rPr>
        <w:t>/</w:t>
      </w:r>
      <w:r w:rsidR="00D2700C">
        <w:rPr>
          <w:rFonts w:ascii="Arial" w:hAnsi="Arial" w:cs="Arial"/>
          <w:b/>
          <w:sz w:val="24"/>
          <w:szCs w:val="24"/>
          <w:lang w:val="el-GR"/>
        </w:rPr>
        <w:t>2</w:t>
      </w:r>
    </w:p>
    <w:p w14:paraId="3749A61B" w14:textId="49E8B3DF" w:rsidR="00263A2D" w:rsidRPr="00B07B36" w:rsidRDefault="00D8195B" w:rsidP="00F75777">
      <w:pPr>
        <w:jc w:val="center"/>
        <w:rPr>
          <w:rFonts w:ascii="Arial" w:hAnsi="Arial" w:cs="Arial"/>
          <w:b/>
          <w:sz w:val="24"/>
          <w:szCs w:val="24"/>
          <w:lang w:val="el-GR"/>
        </w:rPr>
      </w:pPr>
      <w:r>
        <w:rPr>
          <w:rFonts w:ascii="Arial" w:hAnsi="Arial" w:cs="Arial"/>
          <w:b/>
          <w:sz w:val="24"/>
          <w:szCs w:val="24"/>
          <w:lang w:val="el-GR"/>
        </w:rPr>
        <w:t xml:space="preserve">Απάντηση του Ιδρύματος </w:t>
      </w:r>
      <w:r w:rsidR="004F01AD" w:rsidRPr="0010098B">
        <w:rPr>
          <w:rFonts w:ascii="Arial" w:hAnsi="Arial" w:cs="Arial"/>
          <w:b/>
          <w:sz w:val="24"/>
          <w:szCs w:val="24"/>
          <w:lang w:val="el-GR"/>
        </w:rPr>
        <w:t xml:space="preserve">στην </w:t>
      </w:r>
      <w:r w:rsidR="001D317D">
        <w:rPr>
          <w:rFonts w:ascii="Arial" w:hAnsi="Arial" w:cs="Arial"/>
          <w:b/>
          <w:sz w:val="24"/>
          <w:szCs w:val="24"/>
          <w:lang w:val="el-GR"/>
        </w:rPr>
        <w:t xml:space="preserve">Αναβολή Λήψης Απόφασης </w:t>
      </w:r>
      <w:r w:rsidR="004F01AD" w:rsidRPr="004F01AD">
        <w:rPr>
          <w:rFonts w:ascii="Arial" w:hAnsi="Arial" w:cs="Arial"/>
          <w:b/>
          <w:sz w:val="24"/>
          <w:szCs w:val="24"/>
          <w:lang w:val="el-GR"/>
        </w:rPr>
        <w:t>(ESG 2.3</w:t>
      </w:r>
      <w:r w:rsidR="00B07B36" w:rsidRPr="00B07B36">
        <w:rPr>
          <w:rFonts w:ascii="Arial" w:hAnsi="Arial" w:cs="Arial"/>
          <w:b/>
          <w:sz w:val="24"/>
          <w:szCs w:val="24"/>
          <w:lang w:val="el-GR"/>
        </w:rPr>
        <w:t>)</w:t>
      </w:r>
    </w:p>
    <w:tbl>
      <w:tblPr>
        <w:tblStyle w:val="TableGrid"/>
        <w:tblW w:w="14029" w:type="dxa"/>
        <w:tblLook w:val="04A0" w:firstRow="1" w:lastRow="0" w:firstColumn="1" w:lastColumn="0" w:noHBand="0" w:noVBand="1"/>
      </w:tblPr>
      <w:tblGrid>
        <w:gridCol w:w="4106"/>
        <w:gridCol w:w="5670"/>
        <w:gridCol w:w="4253"/>
      </w:tblGrid>
      <w:tr w:rsidR="0078588F" w:rsidRPr="009307F4" w14:paraId="0C3C1575" w14:textId="77777777" w:rsidTr="0024548F">
        <w:trPr>
          <w:trHeight w:val="283"/>
        </w:trPr>
        <w:tc>
          <w:tcPr>
            <w:tcW w:w="4106" w:type="dxa"/>
            <w:vMerge w:val="restart"/>
            <w:vAlign w:val="center"/>
          </w:tcPr>
          <w:p w14:paraId="1F7618E7" w14:textId="77777777" w:rsidR="0078588F" w:rsidRPr="009307F4" w:rsidRDefault="0078588F" w:rsidP="007818B2">
            <w:pPr>
              <w:rPr>
                <w:rFonts w:cs="Arial"/>
                <w:b/>
                <w:szCs w:val="24"/>
              </w:rPr>
            </w:pPr>
            <w:proofErr w:type="spellStart"/>
            <w:r>
              <w:rPr>
                <w:rFonts w:cs="Arial"/>
                <w:b/>
                <w:szCs w:val="24"/>
                <w:lang w:val="el-GR"/>
              </w:rPr>
              <w:t>Αρ</w:t>
            </w:r>
            <w:proofErr w:type="spellEnd"/>
            <w:r w:rsidRPr="00C07833">
              <w:rPr>
                <w:rFonts w:cs="Arial"/>
                <w:b/>
                <w:szCs w:val="24"/>
              </w:rPr>
              <w:t xml:space="preserve">. </w:t>
            </w:r>
            <w:proofErr w:type="spellStart"/>
            <w:r>
              <w:rPr>
                <w:rFonts w:cs="Arial"/>
                <w:b/>
                <w:szCs w:val="24"/>
                <w:lang w:val="el-GR"/>
              </w:rPr>
              <w:t>Φακ</w:t>
            </w:r>
            <w:proofErr w:type="spellEnd"/>
            <w:r>
              <w:rPr>
                <w:rFonts w:cs="Arial"/>
                <w:b/>
                <w:szCs w:val="24"/>
                <w:lang w:val="el-GR"/>
              </w:rPr>
              <w:t>.</w:t>
            </w:r>
            <w:r w:rsidRPr="009307F4">
              <w:rPr>
                <w:rFonts w:cs="Arial"/>
                <w:b/>
                <w:szCs w:val="24"/>
                <w:lang w:val="en-US"/>
              </w:rPr>
              <w:t>:</w:t>
            </w:r>
          </w:p>
        </w:tc>
        <w:tc>
          <w:tcPr>
            <w:tcW w:w="5670" w:type="dxa"/>
            <w:vMerge w:val="restart"/>
            <w:vAlign w:val="center"/>
          </w:tcPr>
          <w:p w14:paraId="10A60726" w14:textId="167666FA" w:rsidR="0078588F" w:rsidRPr="0014476D" w:rsidRDefault="003E0076" w:rsidP="0016223F">
            <w:pPr>
              <w:rPr>
                <w:rFonts w:cs="Arial"/>
                <w:szCs w:val="24"/>
                <w:lang w:val="en-US"/>
              </w:rPr>
            </w:pPr>
            <w:r w:rsidRPr="003E0076">
              <w:rPr>
                <w:rFonts w:cs="Arial"/>
                <w:szCs w:val="24"/>
                <w:lang w:val="en-US"/>
              </w:rPr>
              <w:t>07.14.112.011</w:t>
            </w:r>
          </w:p>
        </w:tc>
        <w:tc>
          <w:tcPr>
            <w:tcW w:w="4253" w:type="dxa"/>
            <w:shd w:val="clear" w:color="auto" w:fill="DEEAF6" w:themeFill="accent1" w:themeFillTint="33"/>
            <w:vAlign w:val="center"/>
          </w:tcPr>
          <w:p w14:paraId="4C6CFD3E" w14:textId="77777777" w:rsidR="0078588F" w:rsidRPr="00AA4E59" w:rsidRDefault="0078588F" w:rsidP="0078588F">
            <w:pPr>
              <w:jc w:val="center"/>
              <w:rPr>
                <w:rFonts w:cs="Arial"/>
                <w:b/>
                <w:color w:val="000000" w:themeColor="text1"/>
                <w:szCs w:val="24"/>
                <w:lang w:val="en-US"/>
              </w:rPr>
            </w:pPr>
            <w:proofErr w:type="spellStart"/>
            <w:r w:rsidRPr="00AA4E59">
              <w:rPr>
                <w:rFonts w:cs="Arial"/>
                <w:b/>
                <w:color w:val="000000" w:themeColor="text1"/>
                <w:szCs w:val="24"/>
                <w:lang w:val="en-US"/>
              </w:rPr>
              <w:t>Αξιολόγηση</w:t>
            </w:r>
            <w:proofErr w:type="spellEnd"/>
            <w:r w:rsidRPr="00AA4E59">
              <w:rPr>
                <w:rFonts w:cs="Arial"/>
                <w:b/>
                <w:color w:val="000000" w:themeColor="text1"/>
                <w:szCs w:val="24"/>
                <w:lang w:val="en-US"/>
              </w:rPr>
              <w:t>/</w:t>
            </w:r>
            <w:proofErr w:type="spellStart"/>
            <w:r w:rsidRPr="00AA4E59">
              <w:rPr>
                <w:rFonts w:cs="Arial"/>
                <w:b/>
                <w:color w:val="000000" w:themeColor="text1"/>
                <w:szCs w:val="24"/>
                <w:lang w:val="en-US"/>
              </w:rPr>
              <w:t>Πιστο</w:t>
            </w:r>
            <w:proofErr w:type="spellEnd"/>
            <w:r w:rsidRPr="00AA4E59">
              <w:rPr>
                <w:rFonts w:cs="Arial"/>
                <w:b/>
                <w:color w:val="000000" w:themeColor="text1"/>
                <w:szCs w:val="24"/>
                <w:lang w:val="en-US"/>
              </w:rPr>
              <w:t>ποίηση</w:t>
            </w:r>
          </w:p>
        </w:tc>
      </w:tr>
      <w:tr w:rsidR="0078588F" w:rsidRPr="009307F4" w14:paraId="24B95E59" w14:textId="77777777" w:rsidTr="0024548F">
        <w:trPr>
          <w:trHeight w:val="283"/>
        </w:trPr>
        <w:tc>
          <w:tcPr>
            <w:tcW w:w="4106" w:type="dxa"/>
            <w:vMerge/>
            <w:vAlign w:val="center"/>
          </w:tcPr>
          <w:p w14:paraId="780FEC7D" w14:textId="77777777" w:rsidR="0078588F" w:rsidRDefault="0078588F" w:rsidP="007818B2">
            <w:pPr>
              <w:rPr>
                <w:rFonts w:cs="Arial"/>
                <w:b/>
                <w:szCs w:val="24"/>
                <w:lang w:val="el-GR"/>
              </w:rPr>
            </w:pPr>
          </w:p>
        </w:tc>
        <w:tc>
          <w:tcPr>
            <w:tcW w:w="5670" w:type="dxa"/>
            <w:vMerge/>
            <w:vAlign w:val="center"/>
          </w:tcPr>
          <w:p w14:paraId="15F06016" w14:textId="77777777" w:rsidR="0078588F" w:rsidRPr="0014476D" w:rsidRDefault="0078588F" w:rsidP="0016223F">
            <w:pPr>
              <w:rPr>
                <w:rFonts w:cs="Arial"/>
                <w:szCs w:val="24"/>
                <w:lang w:val="en-US"/>
              </w:rPr>
            </w:pPr>
          </w:p>
        </w:tc>
        <w:sdt>
          <w:sdtPr>
            <w:rPr>
              <w:rFonts w:cs="Arial"/>
              <w:color w:val="000000" w:themeColor="text1"/>
              <w:szCs w:val="24"/>
              <w:lang w:val="en-US"/>
            </w:rPr>
            <w:id w:val="1666516798"/>
            <w:placeholder>
              <w:docPart w:val="0A1E60E7F559431091A2EDD59AEB60EA"/>
            </w:placeholder>
            <w:comboBox>
              <w:listItem w:displayText="Πρόγραμμα" w:value="Πρόγραμμα"/>
              <w:listItem w:displayText="Τμήμα" w:value="Τμήμα"/>
              <w:listItem w:displayText="Ίδρυμα" w:value="Ίδρυμα"/>
            </w:comboBox>
          </w:sdtPr>
          <w:sdtEndPr/>
          <w:sdtContent>
            <w:tc>
              <w:tcPr>
                <w:tcW w:w="4253" w:type="dxa"/>
                <w:vAlign w:val="center"/>
              </w:tcPr>
              <w:p w14:paraId="41A2FC64" w14:textId="77777777" w:rsidR="0078588F" w:rsidRPr="00AA4E59" w:rsidRDefault="00B56552" w:rsidP="0078588F">
                <w:pPr>
                  <w:jc w:val="center"/>
                  <w:rPr>
                    <w:rFonts w:cs="Arial"/>
                    <w:color w:val="000000" w:themeColor="text1"/>
                    <w:szCs w:val="24"/>
                    <w:lang w:val="en-US"/>
                  </w:rPr>
                </w:pPr>
                <w:proofErr w:type="spellStart"/>
                <w:r w:rsidRPr="00AA4E59">
                  <w:rPr>
                    <w:rFonts w:cs="Arial"/>
                    <w:color w:val="000000" w:themeColor="text1"/>
                    <w:szCs w:val="24"/>
                    <w:lang w:val="en-US"/>
                  </w:rPr>
                  <w:t>Πρόγρ</w:t>
                </w:r>
                <w:proofErr w:type="spellEnd"/>
                <w:r w:rsidRPr="00AA4E59">
                  <w:rPr>
                    <w:rFonts w:cs="Arial"/>
                    <w:color w:val="000000" w:themeColor="text1"/>
                    <w:szCs w:val="24"/>
                    <w:lang w:val="en-US"/>
                  </w:rPr>
                  <w:t>αμμα</w:t>
                </w:r>
              </w:p>
            </w:tc>
          </w:sdtContent>
        </w:sdt>
      </w:tr>
      <w:tr w:rsidR="007818B2" w:rsidRPr="003E0076" w14:paraId="7DB38796" w14:textId="77777777" w:rsidTr="0024548F">
        <w:trPr>
          <w:trHeight w:val="567"/>
        </w:trPr>
        <w:tc>
          <w:tcPr>
            <w:tcW w:w="4106" w:type="dxa"/>
            <w:vAlign w:val="center"/>
          </w:tcPr>
          <w:p w14:paraId="430798BA" w14:textId="77777777" w:rsidR="007818B2" w:rsidRPr="0010098B" w:rsidRDefault="00C07833" w:rsidP="0016223F">
            <w:pPr>
              <w:rPr>
                <w:rFonts w:cs="Arial"/>
                <w:b/>
                <w:szCs w:val="24"/>
                <w:lang w:val="el-GR"/>
              </w:rPr>
            </w:pPr>
            <w:r>
              <w:rPr>
                <w:rFonts w:cs="Arial"/>
                <w:b/>
                <w:szCs w:val="24"/>
                <w:lang w:val="el-GR"/>
              </w:rPr>
              <w:t>Πρόγραμμα</w:t>
            </w:r>
            <w:r w:rsidRPr="0010098B">
              <w:rPr>
                <w:rFonts w:cs="Arial"/>
                <w:b/>
                <w:szCs w:val="24"/>
                <w:lang w:val="el-GR"/>
              </w:rPr>
              <w:t xml:space="preserve"> </w:t>
            </w:r>
            <w:r w:rsidR="00D462D2">
              <w:rPr>
                <w:rFonts w:cs="Arial"/>
                <w:b/>
                <w:szCs w:val="24"/>
                <w:lang w:val="el-GR"/>
              </w:rPr>
              <w:t>Σπουδών</w:t>
            </w:r>
            <w:r w:rsidR="007818B2" w:rsidRPr="0010098B">
              <w:rPr>
                <w:rFonts w:cs="Arial"/>
                <w:b/>
                <w:szCs w:val="24"/>
                <w:lang w:val="el-GR"/>
              </w:rPr>
              <w:t>:</w:t>
            </w:r>
          </w:p>
          <w:p w14:paraId="157AEA5E" w14:textId="77777777" w:rsidR="007818B2" w:rsidRPr="00C07833" w:rsidRDefault="00C07833" w:rsidP="00D462D2">
            <w:pPr>
              <w:rPr>
                <w:rFonts w:cs="Arial"/>
                <w:b/>
                <w:szCs w:val="24"/>
                <w:lang w:val="el-GR"/>
              </w:rPr>
            </w:pPr>
            <w:r>
              <w:rPr>
                <w:b/>
                <w:sz w:val="18"/>
                <w:szCs w:val="28"/>
                <w:lang w:val="el-GR"/>
              </w:rPr>
              <w:t>Τίτλος Σπουδών</w:t>
            </w:r>
            <w:r w:rsidR="007818B2" w:rsidRPr="00C07833">
              <w:rPr>
                <w:b/>
                <w:sz w:val="18"/>
                <w:szCs w:val="28"/>
                <w:lang w:val="el-GR"/>
              </w:rPr>
              <w:t xml:space="preserve"> (</w:t>
            </w:r>
            <w:r>
              <w:rPr>
                <w:b/>
                <w:sz w:val="18"/>
                <w:szCs w:val="28"/>
                <w:lang w:val="el-GR"/>
              </w:rPr>
              <w:t>Διάρκεια</w:t>
            </w:r>
            <w:r w:rsidR="007818B2" w:rsidRPr="00C07833">
              <w:rPr>
                <w:b/>
                <w:sz w:val="18"/>
                <w:szCs w:val="28"/>
                <w:lang w:val="el-GR"/>
              </w:rPr>
              <w:t xml:space="preserve">, </w:t>
            </w:r>
            <w:r w:rsidR="007818B2" w:rsidRPr="009307F4">
              <w:rPr>
                <w:b/>
                <w:sz w:val="18"/>
                <w:szCs w:val="28"/>
              </w:rPr>
              <w:t>ECTS</w:t>
            </w:r>
            <w:r w:rsidR="007818B2" w:rsidRPr="00C07833">
              <w:rPr>
                <w:b/>
                <w:sz w:val="18"/>
                <w:szCs w:val="28"/>
                <w:lang w:val="el-GR"/>
              </w:rPr>
              <w:t xml:space="preserve">, </w:t>
            </w:r>
            <w:r w:rsidR="00D462D2">
              <w:rPr>
                <w:b/>
                <w:sz w:val="18"/>
                <w:szCs w:val="28"/>
                <w:lang w:val="el-GR"/>
              </w:rPr>
              <w:t>Κύκλος Σπουδών</w:t>
            </w:r>
            <w:r w:rsidR="007818B2" w:rsidRPr="00C07833">
              <w:rPr>
                <w:b/>
                <w:sz w:val="18"/>
                <w:szCs w:val="28"/>
                <w:lang w:val="el-GR"/>
              </w:rPr>
              <w:t>)</w:t>
            </w:r>
          </w:p>
        </w:tc>
        <w:tc>
          <w:tcPr>
            <w:tcW w:w="9923" w:type="dxa"/>
            <w:gridSpan w:val="2"/>
            <w:vAlign w:val="center"/>
          </w:tcPr>
          <w:p w14:paraId="2412BB98" w14:textId="45D3413E" w:rsidR="00B56552" w:rsidRPr="003E0076" w:rsidRDefault="003E0076" w:rsidP="0016223F">
            <w:pPr>
              <w:tabs>
                <w:tab w:val="left" w:pos="406"/>
              </w:tabs>
              <w:rPr>
                <w:rFonts w:cs="Arial"/>
                <w:szCs w:val="24"/>
              </w:rPr>
            </w:pPr>
            <w:r w:rsidRPr="003E0076">
              <w:rPr>
                <w:rFonts w:cs="Arial"/>
                <w:szCs w:val="24"/>
              </w:rPr>
              <w:t>Computer Science (4 academic years, 240 ECTS, Bachelor (BSc))</w:t>
            </w:r>
          </w:p>
        </w:tc>
      </w:tr>
      <w:tr w:rsidR="007818B2" w:rsidRPr="009307F4" w14:paraId="0EEB3CEE" w14:textId="77777777" w:rsidTr="0024548F">
        <w:trPr>
          <w:trHeight w:val="567"/>
        </w:trPr>
        <w:tc>
          <w:tcPr>
            <w:tcW w:w="4106" w:type="dxa"/>
            <w:vAlign w:val="center"/>
          </w:tcPr>
          <w:p w14:paraId="6B658FBC" w14:textId="77777777" w:rsidR="007818B2" w:rsidRPr="009307F4" w:rsidRDefault="00C07833" w:rsidP="0016223F">
            <w:pPr>
              <w:rPr>
                <w:rFonts w:cs="Arial"/>
                <w:b/>
                <w:szCs w:val="24"/>
              </w:rPr>
            </w:pPr>
            <w:r>
              <w:rPr>
                <w:rFonts w:cs="Arial"/>
                <w:b/>
                <w:szCs w:val="24"/>
                <w:lang w:val="el-GR"/>
              </w:rPr>
              <w:t>Ίδρυμα</w:t>
            </w:r>
            <w:r w:rsidR="007818B2" w:rsidRPr="009307F4">
              <w:rPr>
                <w:rFonts w:cs="Arial"/>
                <w:b/>
                <w:szCs w:val="24"/>
              </w:rPr>
              <w:t>:</w:t>
            </w:r>
          </w:p>
        </w:tc>
        <w:tc>
          <w:tcPr>
            <w:tcW w:w="9923" w:type="dxa"/>
            <w:gridSpan w:val="2"/>
            <w:vAlign w:val="center"/>
          </w:tcPr>
          <w:p w14:paraId="3247FE15" w14:textId="342DDF1E" w:rsidR="007818B2" w:rsidRPr="00B579D7" w:rsidRDefault="003E0076" w:rsidP="00B56552">
            <w:pPr>
              <w:rPr>
                <w:rFonts w:cs="Arial"/>
                <w:szCs w:val="24"/>
                <w:lang w:val="el-GR"/>
              </w:rPr>
            </w:pPr>
            <w:r w:rsidRPr="003E0076">
              <w:rPr>
                <w:rFonts w:cs="Arial"/>
                <w:szCs w:val="24"/>
                <w:lang w:val="el-GR"/>
              </w:rPr>
              <w:t>A.C American College</w:t>
            </w:r>
          </w:p>
        </w:tc>
      </w:tr>
    </w:tbl>
    <w:p w14:paraId="718D2D02" w14:textId="77777777" w:rsidR="007B0B0F" w:rsidRDefault="007B0B0F" w:rsidP="007B0B0F">
      <w:pPr>
        <w:spacing w:after="0" w:line="240" w:lineRule="auto"/>
        <w:jc w:val="both"/>
        <w:rPr>
          <w:lang w:val="el-GR"/>
        </w:rPr>
      </w:pPr>
    </w:p>
    <w:p w14:paraId="401710BB" w14:textId="527B873F" w:rsidR="00AA4E59" w:rsidRPr="00861771" w:rsidRDefault="00B56552" w:rsidP="00B56552">
      <w:pPr>
        <w:jc w:val="both"/>
        <w:rPr>
          <w:lang w:val="el-GR"/>
        </w:rPr>
      </w:pPr>
      <w:r>
        <w:rPr>
          <w:lang w:val="el-GR"/>
        </w:rPr>
        <w:t>Τ</w:t>
      </w:r>
      <w:r w:rsidRPr="00B56552">
        <w:rPr>
          <w:lang w:val="el-GR"/>
        </w:rPr>
        <w:t xml:space="preserve">ο Συμβούλιο του Φορέα Διασφάλισης και Πιστοποίησης της Ποιότητας της Ανώτερης Εκπαίδευσης, κατά την </w:t>
      </w:r>
      <w:r w:rsidR="00B579D7">
        <w:rPr>
          <w:lang w:val="el-GR"/>
        </w:rPr>
        <w:t>82</w:t>
      </w:r>
      <w:r w:rsidR="00B579D7" w:rsidRPr="00B579D7">
        <w:rPr>
          <w:vertAlign w:val="superscript"/>
          <w:lang w:val="el-GR"/>
        </w:rPr>
        <w:t>η</w:t>
      </w:r>
      <w:r w:rsidR="00B579D7">
        <w:rPr>
          <w:lang w:val="el-GR"/>
        </w:rPr>
        <w:t xml:space="preserve"> </w:t>
      </w:r>
      <w:r w:rsidRPr="00B56552">
        <w:rPr>
          <w:lang w:val="el-GR"/>
        </w:rPr>
        <w:t xml:space="preserve"> Σύνοδό του, η οποία πραγματοποιήθηκε στις </w:t>
      </w:r>
      <w:r w:rsidR="00B579D7">
        <w:rPr>
          <w:lang w:val="el-GR"/>
        </w:rPr>
        <w:t>16/05/2022</w:t>
      </w:r>
      <w:r w:rsidRPr="00B56552">
        <w:rPr>
          <w:lang w:val="el-GR"/>
        </w:rPr>
        <w:t xml:space="preserve">, αφού μελέτησε την αίτηση </w:t>
      </w:r>
      <w:r>
        <w:rPr>
          <w:lang w:val="el-GR"/>
        </w:rPr>
        <w:t>του Ιδρύματος</w:t>
      </w:r>
      <w:r w:rsidRPr="00B56552">
        <w:rPr>
          <w:lang w:val="el-GR"/>
        </w:rPr>
        <w:t xml:space="preserve">, </w:t>
      </w:r>
      <w:r w:rsidRPr="00A42EA4">
        <w:rPr>
          <w:u w:val="single"/>
          <w:lang w:val="el-GR"/>
        </w:rPr>
        <w:t>την έκθεση της Επιτροπ</w:t>
      </w:r>
      <w:r w:rsidR="00A42EA4" w:rsidRPr="00A42EA4">
        <w:rPr>
          <w:u w:val="single"/>
          <w:lang w:val="el-GR"/>
        </w:rPr>
        <w:t>ής Εξωτερικής Αξιολόγησης (ΕΕΑ)</w:t>
      </w:r>
      <w:r w:rsidR="00A42EA4">
        <w:rPr>
          <w:lang w:val="el-GR"/>
        </w:rPr>
        <w:t xml:space="preserve">, </w:t>
      </w:r>
      <w:r w:rsidR="00A42EA4" w:rsidRPr="00A42EA4">
        <w:rPr>
          <w:u w:val="single"/>
          <w:lang w:val="el-GR"/>
        </w:rPr>
        <w:t>τ</w:t>
      </w:r>
      <w:r w:rsidRPr="00A42EA4">
        <w:rPr>
          <w:u w:val="single"/>
          <w:lang w:val="el-GR"/>
        </w:rPr>
        <w:t>ην Απάντηση του ιδρύματος στις παρατηρήσεις της ΕΕΑ</w:t>
      </w:r>
      <w:r w:rsidRPr="00B56552">
        <w:rPr>
          <w:lang w:val="el-GR"/>
        </w:rPr>
        <w:t xml:space="preserve"> </w:t>
      </w:r>
      <w:r w:rsidR="00A42EA4">
        <w:rPr>
          <w:lang w:val="el-GR"/>
        </w:rPr>
        <w:t xml:space="preserve">και </w:t>
      </w:r>
      <w:r w:rsidR="00A42EA4" w:rsidRPr="00A42EA4">
        <w:rPr>
          <w:u w:val="single"/>
          <w:lang w:val="el-GR"/>
        </w:rPr>
        <w:t>την Ανατροφοδότηση από την ΕΕΑ</w:t>
      </w:r>
      <w:r w:rsidR="00A42EA4">
        <w:rPr>
          <w:lang w:val="el-GR"/>
        </w:rPr>
        <w:t xml:space="preserve"> </w:t>
      </w:r>
      <w:r w:rsidRPr="00B56552">
        <w:rPr>
          <w:lang w:val="el-GR"/>
        </w:rPr>
        <w:t xml:space="preserve">αποφάσισε </w:t>
      </w:r>
      <w:r w:rsidRPr="00861771">
        <w:rPr>
          <w:lang w:val="el-GR"/>
        </w:rPr>
        <w:t xml:space="preserve">την αναβολή λήψης </w:t>
      </w:r>
      <w:r w:rsidR="00D8195B" w:rsidRPr="00861771">
        <w:rPr>
          <w:lang w:val="el-GR"/>
        </w:rPr>
        <w:t>α</w:t>
      </w:r>
      <w:r w:rsidRPr="00861771">
        <w:rPr>
          <w:lang w:val="el-GR"/>
        </w:rPr>
        <w:t>πόφασης</w:t>
      </w:r>
      <w:r w:rsidR="00D32CF0">
        <w:rPr>
          <w:lang w:val="el-GR"/>
        </w:rPr>
        <w:t xml:space="preserve"> </w:t>
      </w:r>
      <w:r w:rsidR="00A42EA4" w:rsidRPr="00A42EA4">
        <w:rPr>
          <w:lang w:val="el-GR"/>
        </w:rPr>
        <w:t xml:space="preserve">ούτως ώστε να προωθηθεί </w:t>
      </w:r>
      <w:r w:rsidR="00A42EA4">
        <w:rPr>
          <w:lang w:val="el-GR"/>
        </w:rPr>
        <w:t xml:space="preserve">από το </w:t>
      </w:r>
      <w:r w:rsidR="00A42EA4" w:rsidRPr="00A42EA4">
        <w:rPr>
          <w:lang w:val="el-GR"/>
        </w:rPr>
        <w:t xml:space="preserve">ίδρυμα </w:t>
      </w:r>
      <w:r w:rsidR="00A42EA4">
        <w:rPr>
          <w:lang w:val="el-GR"/>
        </w:rPr>
        <w:t>ενημέρωση</w:t>
      </w:r>
      <w:r w:rsidR="00A42EA4" w:rsidRPr="00A42EA4">
        <w:rPr>
          <w:lang w:val="el-GR"/>
        </w:rPr>
        <w:t xml:space="preserve"> για ικανοποίηση ΟΛΩΝ των εισηγήσεων της ΕΕΑ.</w:t>
      </w:r>
      <w:r w:rsidRPr="00861771">
        <w:rPr>
          <w:lang w:val="el-GR"/>
        </w:rPr>
        <w:t xml:space="preserve"> </w:t>
      </w:r>
    </w:p>
    <w:p w14:paraId="2EBE4579" w14:textId="768085C7" w:rsidR="00B56552" w:rsidRPr="00D92E7C" w:rsidRDefault="00B56552" w:rsidP="00B56552">
      <w:pPr>
        <w:jc w:val="both"/>
        <w:rPr>
          <w:lang w:val="el-GR"/>
        </w:rPr>
      </w:pPr>
      <w:r w:rsidRPr="00861771">
        <w:rPr>
          <w:lang w:val="el-GR"/>
        </w:rPr>
        <w:t>Π</w:t>
      </w:r>
      <w:r w:rsidR="00D8195B" w:rsidRPr="00861771">
        <w:rPr>
          <w:lang w:val="el-GR"/>
        </w:rPr>
        <w:t>αρακαλώ</w:t>
      </w:r>
      <w:r w:rsidR="00723144" w:rsidRPr="00861771">
        <w:rPr>
          <w:lang w:val="el-GR"/>
        </w:rPr>
        <w:t xml:space="preserve"> να τεκμηριώσετε την απάντηση /ενέργειες του ιδρύματος </w:t>
      </w:r>
      <w:r w:rsidR="00A42EA4" w:rsidRPr="00A42EA4">
        <w:rPr>
          <w:b/>
          <w:u w:val="single"/>
          <w:lang w:val="el-GR"/>
        </w:rPr>
        <w:t>στο παρόν έντυπο</w:t>
      </w:r>
      <w:r w:rsidR="00A42EA4">
        <w:rPr>
          <w:lang w:val="el-GR"/>
        </w:rPr>
        <w:t xml:space="preserve"> </w:t>
      </w:r>
      <w:r w:rsidR="00723144" w:rsidRPr="00861771">
        <w:rPr>
          <w:lang w:val="el-GR"/>
        </w:rPr>
        <w:t>και να επισυνάψετε σε παράρτημα, ό, τι είναι αναγκαίο.</w:t>
      </w:r>
      <w:r w:rsidR="001B22F7" w:rsidRPr="00861771">
        <w:rPr>
          <w:lang w:val="el-GR"/>
        </w:rPr>
        <w:t xml:space="preserve"> </w:t>
      </w:r>
      <w:r w:rsidR="00D92E7C">
        <w:rPr>
          <w:lang w:val="el-GR"/>
        </w:rPr>
        <w:t>Το παρόν έντυπο να αποσταλεί στον Φορέα σε μορφή *.</w:t>
      </w:r>
      <w:proofErr w:type="spellStart"/>
      <w:r w:rsidR="00D92E7C">
        <w:t>docx</w:t>
      </w:r>
      <w:proofErr w:type="spellEnd"/>
      <w:r w:rsidR="00D92E7C" w:rsidRPr="00D92E7C">
        <w:rPr>
          <w:lang w:val="el-GR"/>
        </w:rPr>
        <w:t xml:space="preserve"> </w:t>
      </w:r>
      <w:r w:rsidR="00D92E7C">
        <w:rPr>
          <w:lang w:val="el-GR"/>
        </w:rPr>
        <w:t>και με υπογραφές σε μορφή *.</w:t>
      </w:r>
      <w:r w:rsidR="00D92E7C">
        <w:t>pdf</w:t>
      </w:r>
    </w:p>
    <w:p w14:paraId="5BF30335" w14:textId="3C56E9E5" w:rsidR="001B22F7" w:rsidRDefault="001B22F7" w:rsidP="00B56552">
      <w:pPr>
        <w:jc w:val="both"/>
        <w:rPr>
          <w:lang w:val="el-GR"/>
        </w:rPr>
      </w:pPr>
      <w:r w:rsidRPr="00861771">
        <w:rPr>
          <w:lang w:val="el-GR"/>
        </w:rPr>
        <w:t xml:space="preserve">Η απάντηση να αποσταλεί στον/στην αρμόδιο λειτουργό εντός </w:t>
      </w:r>
      <w:r w:rsidR="00B579D7">
        <w:rPr>
          <w:lang w:val="el-GR"/>
        </w:rPr>
        <w:t>δύο</w:t>
      </w:r>
      <w:r w:rsidRPr="00861771">
        <w:rPr>
          <w:lang w:val="el-GR"/>
        </w:rPr>
        <w:t xml:space="preserve"> μηνών</w:t>
      </w:r>
      <w:r w:rsidR="00A42EA4" w:rsidRPr="00A42EA4">
        <w:rPr>
          <w:b/>
          <w:u w:val="single"/>
          <w:lang w:val="el-GR"/>
        </w:rPr>
        <w:t xml:space="preserve"> μέχρι 20-7-2022</w:t>
      </w:r>
      <w:r w:rsidRPr="00861771">
        <w:rPr>
          <w:lang w:val="el-GR"/>
        </w:rPr>
        <w:t>.</w:t>
      </w:r>
    </w:p>
    <w:p w14:paraId="68440FFB" w14:textId="1903A79E" w:rsidR="00F578A5" w:rsidRDefault="00F578A5">
      <w:pPr>
        <w:rPr>
          <w:rFonts w:cs="Arial"/>
          <w:lang w:val="el-GR"/>
        </w:rPr>
      </w:pPr>
      <w:r>
        <w:rPr>
          <w:rFonts w:cs="Arial"/>
          <w:lang w:val="el-GR"/>
        </w:rPr>
        <w:br w:type="page"/>
      </w:r>
    </w:p>
    <w:p w14:paraId="3C4228CC" w14:textId="77777777" w:rsidR="001B22F7" w:rsidRPr="00B56552" w:rsidRDefault="001B22F7" w:rsidP="000B15E1">
      <w:pPr>
        <w:spacing w:after="0" w:line="240" w:lineRule="auto"/>
        <w:jc w:val="both"/>
        <w:rPr>
          <w:rFonts w:cs="Arial"/>
          <w:lang w:val="el-GR"/>
        </w:rPr>
      </w:pPr>
    </w:p>
    <w:tbl>
      <w:tblPr>
        <w:tblStyle w:val="TableGrid"/>
        <w:tblW w:w="14029" w:type="dxa"/>
        <w:tblLook w:val="04A0" w:firstRow="1" w:lastRow="0" w:firstColumn="1" w:lastColumn="0" w:noHBand="0" w:noVBand="1"/>
      </w:tblPr>
      <w:tblGrid>
        <w:gridCol w:w="562"/>
        <w:gridCol w:w="6733"/>
        <w:gridCol w:w="6734"/>
      </w:tblGrid>
      <w:tr w:rsidR="00AA4E59" w:rsidRPr="00AA4E59" w14:paraId="2B85BB5B" w14:textId="77777777" w:rsidTr="00AA4E59">
        <w:trPr>
          <w:trHeight w:val="283"/>
          <w:tblHeader/>
        </w:trPr>
        <w:tc>
          <w:tcPr>
            <w:tcW w:w="562" w:type="dxa"/>
            <w:vAlign w:val="center"/>
          </w:tcPr>
          <w:p w14:paraId="547C03A7" w14:textId="77777777" w:rsidR="00AA4E59" w:rsidRPr="008E75FE" w:rsidRDefault="00AA4E59" w:rsidP="00A6295D">
            <w:pPr>
              <w:jc w:val="center"/>
              <w:rPr>
                <w:b/>
                <w:sz w:val="24"/>
                <w:lang w:val="el-GR"/>
              </w:rPr>
            </w:pPr>
            <w:proofErr w:type="spellStart"/>
            <w:r w:rsidRPr="00E22E93">
              <w:rPr>
                <w:b/>
                <w:sz w:val="24"/>
                <w:lang w:val="el-GR"/>
              </w:rPr>
              <w:t>Αρ</w:t>
            </w:r>
            <w:proofErr w:type="spellEnd"/>
            <w:r w:rsidRPr="008E75FE">
              <w:rPr>
                <w:b/>
                <w:sz w:val="24"/>
                <w:lang w:val="el-GR"/>
              </w:rPr>
              <w:t>.</w:t>
            </w:r>
          </w:p>
        </w:tc>
        <w:tc>
          <w:tcPr>
            <w:tcW w:w="6733" w:type="dxa"/>
            <w:vAlign w:val="center"/>
          </w:tcPr>
          <w:p w14:paraId="34A50F8F" w14:textId="3CCFAA8B" w:rsidR="00AA4E59" w:rsidRPr="00D8195B" w:rsidRDefault="00AA4E59" w:rsidP="00C07833">
            <w:pPr>
              <w:jc w:val="center"/>
              <w:rPr>
                <w:b/>
                <w:sz w:val="24"/>
                <w:lang w:val="el-GR"/>
              </w:rPr>
            </w:pPr>
            <w:r>
              <w:rPr>
                <w:b/>
                <w:sz w:val="24"/>
                <w:lang w:val="el-GR"/>
              </w:rPr>
              <w:t>ΛΟΓΟΙ ΑΝΑΒΟΛΗΣ</w:t>
            </w:r>
          </w:p>
        </w:tc>
        <w:tc>
          <w:tcPr>
            <w:tcW w:w="6734" w:type="dxa"/>
            <w:vAlign w:val="center"/>
          </w:tcPr>
          <w:p w14:paraId="3B52BE63" w14:textId="1975976C" w:rsidR="00AA4E59" w:rsidRDefault="00AA4E59" w:rsidP="00C07833">
            <w:pPr>
              <w:jc w:val="center"/>
              <w:rPr>
                <w:b/>
                <w:sz w:val="24"/>
                <w:lang w:val="el-GR"/>
              </w:rPr>
            </w:pPr>
            <w:r w:rsidRPr="00B56552">
              <w:rPr>
                <w:b/>
                <w:sz w:val="24"/>
                <w:lang w:val="el-GR"/>
              </w:rPr>
              <w:t xml:space="preserve">ΑΠΑΝΤΗΣΕΙΣ/ΔΙΕΥΚΡΙΝΗΣΕΙΣ </w:t>
            </w:r>
            <w:r>
              <w:rPr>
                <w:b/>
                <w:sz w:val="24"/>
                <w:lang w:val="el-GR"/>
              </w:rPr>
              <w:t>/</w:t>
            </w:r>
            <w:r w:rsidRPr="00B56552">
              <w:rPr>
                <w:b/>
                <w:sz w:val="24"/>
                <w:lang w:val="el-GR"/>
              </w:rPr>
              <w:t xml:space="preserve"> ΕΝΕΡΓΕΙΕΣ </w:t>
            </w:r>
          </w:p>
          <w:p w14:paraId="705EA2D8" w14:textId="08805722" w:rsidR="00AA4E59" w:rsidRPr="00A6295D" w:rsidRDefault="00AA4E59" w:rsidP="00C07833">
            <w:pPr>
              <w:jc w:val="center"/>
              <w:rPr>
                <w:b/>
                <w:sz w:val="24"/>
                <w:lang w:val="el-GR"/>
              </w:rPr>
            </w:pPr>
            <w:r w:rsidRPr="00A6295D">
              <w:rPr>
                <w:b/>
                <w:sz w:val="24"/>
                <w:lang w:val="el-GR"/>
              </w:rPr>
              <w:t>ΙΔΡ</w:t>
            </w:r>
            <w:r w:rsidRPr="00E22E93">
              <w:rPr>
                <w:b/>
                <w:sz w:val="24"/>
                <w:lang w:val="el-GR"/>
              </w:rPr>
              <w:t>Υ</w:t>
            </w:r>
            <w:r>
              <w:rPr>
                <w:b/>
                <w:sz w:val="24"/>
                <w:lang w:val="el-GR"/>
              </w:rPr>
              <w:t xml:space="preserve">ΜΑΤΟΣ </w:t>
            </w:r>
          </w:p>
        </w:tc>
      </w:tr>
      <w:tr w:rsidR="00C412F6" w:rsidRPr="00542411" w14:paraId="629ACF6F" w14:textId="77777777" w:rsidTr="00C412F6">
        <w:trPr>
          <w:trHeight w:val="1134"/>
        </w:trPr>
        <w:tc>
          <w:tcPr>
            <w:tcW w:w="14029" w:type="dxa"/>
            <w:gridSpan w:val="3"/>
            <w:shd w:val="clear" w:color="auto" w:fill="E2EFD9" w:themeFill="accent6" w:themeFillTint="33"/>
            <w:vAlign w:val="center"/>
          </w:tcPr>
          <w:p w14:paraId="2F3ADDC0" w14:textId="77777777" w:rsidR="00C412F6" w:rsidRDefault="00C412F6" w:rsidP="008C6BA2">
            <w:pPr>
              <w:jc w:val="both"/>
              <w:rPr>
                <w:b/>
                <w:lang w:val="el-GR"/>
              </w:rPr>
            </w:pPr>
          </w:p>
          <w:p w14:paraId="0059CC6C" w14:textId="77777777" w:rsidR="00C412F6" w:rsidRDefault="00C412F6" w:rsidP="008C6BA2">
            <w:pPr>
              <w:jc w:val="both"/>
              <w:rPr>
                <w:lang w:val="el-GR"/>
              </w:rPr>
            </w:pPr>
            <w:r w:rsidRPr="002B7F13">
              <w:rPr>
                <w:b/>
                <w:lang w:val="el-GR"/>
              </w:rPr>
              <w:t xml:space="preserve">Δεν έχουν </w:t>
            </w:r>
            <w:r>
              <w:rPr>
                <w:b/>
                <w:lang w:val="el-GR"/>
              </w:rPr>
              <w:t>προσκομιστεί</w:t>
            </w:r>
            <w:r w:rsidRPr="002B7F13">
              <w:rPr>
                <w:b/>
                <w:lang w:val="el-GR"/>
              </w:rPr>
              <w:t xml:space="preserve"> τεκμήρια</w:t>
            </w:r>
            <w:r>
              <w:rPr>
                <w:lang w:val="el-GR"/>
              </w:rPr>
              <w:t xml:space="preserve">  για συμμόρφωση με τα ακόλουθα  σχόλια της ΕΕΑ</w:t>
            </w:r>
            <w:r w:rsidRPr="002B7F13">
              <w:rPr>
                <w:lang w:val="el-GR"/>
              </w:rPr>
              <w:t xml:space="preserve">. </w:t>
            </w:r>
            <w:r>
              <w:rPr>
                <w:lang w:val="el-GR"/>
              </w:rPr>
              <w:t xml:space="preserve"> </w:t>
            </w:r>
          </w:p>
          <w:p w14:paraId="1003EB28" w14:textId="77777777" w:rsidR="00C412F6" w:rsidRDefault="00C412F6" w:rsidP="008C6BA2">
            <w:pPr>
              <w:jc w:val="both"/>
              <w:rPr>
                <w:lang w:val="el-GR"/>
              </w:rPr>
            </w:pPr>
          </w:p>
          <w:p w14:paraId="01611F8C" w14:textId="648289F8" w:rsidR="00C412F6" w:rsidRDefault="00C412F6" w:rsidP="008C6BA2">
            <w:pPr>
              <w:jc w:val="both"/>
              <w:rPr>
                <w:lang w:val="el-GR"/>
              </w:rPr>
            </w:pPr>
            <w:r>
              <w:rPr>
                <w:lang w:val="el-GR"/>
              </w:rPr>
              <w:t>Πέραν δήλωσης των προθέσεων θα πρέπει  να προσκομιστούν στο Φορέα συγκεκριμένα στοιχεία που να καταδεικνύουν τις σχετικές ενέργειες και  πρόοδο</w:t>
            </w:r>
            <w:r w:rsidR="00D32CF0" w:rsidRPr="00D32CF0">
              <w:rPr>
                <w:lang w:val="el-GR"/>
              </w:rPr>
              <w:t xml:space="preserve"> </w:t>
            </w:r>
            <w:r w:rsidR="00D32CF0">
              <w:rPr>
                <w:lang w:val="el-GR"/>
              </w:rPr>
              <w:t xml:space="preserve">μέχρι </w:t>
            </w:r>
            <w:r w:rsidR="00D32CF0" w:rsidRPr="00D32CF0">
              <w:rPr>
                <w:b/>
                <w:u w:val="single"/>
                <w:lang w:val="el-GR"/>
              </w:rPr>
              <w:t>20/7/2022</w:t>
            </w:r>
            <w:r>
              <w:rPr>
                <w:lang w:val="el-GR"/>
              </w:rPr>
              <w:t xml:space="preserve">.  </w:t>
            </w:r>
          </w:p>
          <w:p w14:paraId="060400AE" w14:textId="77777777" w:rsidR="00C412F6" w:rsidRPr="00E22E93" w:rsidRDefault="00C412F6" w:rsidP="008C6BA2">
            <w:pPr>
              <w:jc w:val="both"/>
              <w:rPr>
                <w:lang w:val="el-GR"/>
              </w:rPr>
            </w:pPr>
          </w:p>
        </w:tc>
      </w:tr>
      <w:tr w:rsidR="00C412F6" w:rsidRPr="00C412F6" w14:paraId="76867C01" w14:textId="77777777" w:rsidTr="00C412F6">
        <w:trPr>
          <w:trHeight w:val="567"/>
        </w:trPr>
        <w:tc>
          <w:tcPr>
            <w:tcW w:w="14029" w:type="dxa"/>
            <w:gridSpan w:val="3"/>
            <w:shd w:val="clear" w:color="auto" w:fill="D9D9D9" w:themeFill="background1" w:themeFillShade="D9"/>
            <w:vAlign w:val="center"/>
          </w:tcPr>
          <w:p w14:paraId="1619CAD1" w14:textId="7C1FF635" w:rsidR="00C412F6" w:rsidRPr="00D32CF0" w:rsidRDefault="00D32CF0" w:rsidP="00D32CF0">
            <w:pPr>
              <w:rPr>
                <w:b/>
              </w:rPr>
            </w:pPr>
            <w:r w:rsidRPr="00D32CF0">
              <w:rPr>
                <w:b/>
              </w:rPr>
              <w:t>1.</w:t>
            </w:r>
            <w:r>
              <w:rPr>
                <w:b/>
              </w:rPr>
              <w:t xml:space="preserve"> </w:t>
            </w:r>
            <w:r w:rsidR="00C412F6" w:rsidRPr="00D32CF0">
              <w:rPr>
                <w:b/>
              </w:rPr>
              <w:t>Study programme and study programme’s design and development (ESG 1.1, 1.2, 1.7, 1.8, 1.9)</w:t>
            </w:r>
          </w:p>
        </w:tc>
      </w:tr>
      <w:tr w:rsidR="00C412F6" w:rsidRPr="003E0076" w14:paraId="6A13A7F5" w14:textId="77777777" w:rsidTr="00AA4E59">
        <w:tc>
          <w:tcPr>
            <w:tcW w:w="562" w:type="dxa"/>
            <w:vAlign w:val="center"/>
          </w:tcPr>
          <w:p w14:paraId="15D2D735" w14:textId="77777777" w:rsidR="00C412F6" w:rsidRPr="00C412F6" w:rsidRDefault="00C412F6" w:rsidP="00770D5C">
            <w:pPr>
              <w:pStyle w:val="ListParagraph"/>
              <w:numPr>
                <w:ilvl w:val="0"/>
                <w:numId w:val="1"/>
              </w:numPr>
              <w:ind w:left="0" w:firstLine="0"/>
              <w:contextualSpacing w:val="0"/>
              <w:jc w:val="right"/>
            </w:pPr>
          </w:p>
        </w:tc>
        <w:tc>
          <w:tcPr>
            <w:tcW w:w="6733" w:type="dxa"/>
            <w:vAlign w:val="center"/>
          </w:tcPr>
          <w:p w14:paraId="522777FF" w14:textId="77777777" w:rsidR="00C412F6" w:rsidRDefault="00C412F6" w:rsidP="00C412F6">
            <w:pPr>
              <w:spacing w:before="240"/>
              <w:jc w:val="both"/>
            </w:pPr>
            <w:r>
              <w:t xml:space="preserve">Information about which specific courses are offered in which specific semester and year, applied to all courses of this program, is still not available to the EEC. The EEC requested this information for all courses, and instead received </w:t>
            </w:r>
            <w:r w:rsidRPr="00C412F6">
              <w:t>partial information</w:t>
            </w:r>
            <w:r>
              <w:t xml:space="preserve"> (only for courses that are linked to each other, but not for all courses). This is a core point for assessing a program. </w:t>
            </w:r>
            <w:r w:rsidRPr="00C412F6">
              <w:rPr>
                <w:b/>
              </w:rPr>
              <w:t>This point has not been satisfied.</w:t>
            </w:r>
            <w:r>
              <w:t xml:space="preserve"> This is very surprising. Most academic institutes have this information readily available in tabular form, and some even display it on their website.</w:t>
            </w:r>
          </w:p>
          <w:p w14:paraId="5496D41C" w14:textId="77777777" w:rsidR="00C412F6" w:rsidRPr="00D457E2" w:rsidRDefault="00C412F6" w:rsidP="003E0076">
            <w:pPr>
              <w:jc w:val="both"/>
              <w:rPr>
                <w:lang w:val="en-US"/>
              </w:rPr>
            </w:pPr>
          </w:p>
        </w:tc>
        <w:tc>
          <w:tcPr>
            <w:tcW w:w="6734" w:type="dxa"/>
            <w:vAlign w:val="center"/>
          </w:tcPr>
          <w:p w14:paraId="3954176E" w14:textId="237A5CEC" w:rsidR="00C412F6" w:rsidRPr="00D457E2" w:rsidRDefault="00D457E2" w:rsidP="000F35A8">
            <w:pPr>
              <w:jc w:val="both"/>
              <w:rPr>
                <w:lang w:val="en-US"/>
              </w:rPr>
            </w:pPr>
            <w:r>
              <w:rPr>
                <w:lang w:val="en-US"/>
              </w:rPr>
              <w:t xml:space="preserve">In </w:t>
            </w:r>
            <w:r w:rsidR="009A2344" w:rsidRPr="000F35A8">
              <w:rPr>
                <w:b/>
                <w:lang w:val="en-US"/>
              </w:rPr>
              <w:t xml:space="preserve">Annex </w:t>
            </w:r>
            <w:r w:rsidR="000F35A8" w:rsidRPr="000F35A8">
              <w:rPr>
                <w:b/>
                <w:lang w:val="en-US"/>
              </w:rPr>
              <w:t>1</w:t>
            </w:r>
            <w:r>
              <w:rPr>
                <w:lang w:val="en-US"/>
              </w:rPr>
              <w:t xml:space="preserve"> you may find an up to date </w:t>
            </w:r>
            <w:r w:rsidRPr="00A174E9">
              <w:rPr>
                <w:color w:val="000000" w:themeColor="text1"/>
                <w:lang w:val="en-US"/>
              </w:rPr>
              <w:t xml:space="preserve">table </w:t>
            </w:r>
            <w:r>
              <w:rPr>
                <w:lang w:val="en-US"/>
              </w:rPr>
              <w:t>(includes the latest revisions of point 3 and 14) which shows which specific courses are offered in each semester and year.</w:t>
            </w:r>
          </w:p>
        </w:tc>
      </w:tr>
      <w:tr w:rsidR="00DC21FC" w:rsidRPr="003E0076" w14:paraId="492CF48F" w14:textId="77777777" w:rsidTr="00AA4E59">
        <w:tc>
          <w:tcPr>
            <w:tcW w:w="562" w:type="dxa"/>
            <w:vAlign w:val="center"/>
          </w:tcPr>
          <w:p w14:paraId="57964246" w14:textId="77777777" w:rsidR="00DC21FC" w:rsidRPr="00D457E2" w:rsidRDefault="00DC21FC" w:rsidP="00DC21FC">
            <w:pPr>
              <w:pStyle w:val="ListParagraph"/>
              <w:numPr>
                <w:ilvl w:val="0"/>
                <w:numId w:val="1"/>
              </w:numPr>
              <w:ind w:left="0" w:firstLine="0"/>
              <w:contextualSpacing w:val="0"/>
              <w:jc w:val="right"/>
              <w:rPr>
                <w:lang w:val="en-US"/>
              </w:rPr>
            </w:pPr>
          </w:p>
        </w:tc>
        <w:tc>
          <w:tcPr>
            <w:tcW w:w="6733" w:type="dxa"/>
            <w:vAlign w:val="center"/>
          </w:tcPr>
          <w:p w14:paraId="3A79620E" w14:textId="7FECCCAA" w:rsidR="00DC21FC" w:rsidRDefault="00DC21FC" w:rsidP="00DC21FC">
            <w:pPr>
              <w:spacing w:before="240"/>
              <w:jc w:val="both"/>
            </w:pPr>
            <w:r>
              <w:t xml:space="preserve">The content of the three elective courses in the English language is not higher than the level of the English language competence that students should have upon admission, according to the English language requirements. </w:t>
            </w:r>
            <w:r w:rsidRPr="00C412F6">
              <w:rPr>
                <w:b/>
              </w:rPr>
              <w:t>This point is not satisfied.</w:t>
            </w:r>
          </w:p>
        </w:tc>
        <w:tc>
          <w:tcPr>
            <w:tcW w:w="6734" w:type="dxa"/>
            <w:vAlign w:val="center"/>
          </w:tcPr>
          <w:p w14:paraId="5DB378C5" w14:textId="50F17426" w:rsidR="00DC21FC" w:rsidRPr="00EC4DD6" w:rsidRDefault="00DC21FC" w:rsidP="000F35A8">
            <w:pPr>
              <w:jc w:val="both"/>
              <w:rPr>
                <w:lang w:val="en-US"/>
              </w:rPr>
            </w:pPr>
            <w:r>
              <w:t xml:space="preserve">The content of the three elective courses in the English language has been revised </w:t>
            </w:r>
            <w:r w:rsidR="00EC4DD6">
              <w:t xml:space="preserve">to be higher than the level of the English Language admission requirements which corresponds to the </w:t>
            </w:r>
            <w:r w:rsidR="00EC4DD6" w:rsidRPr="00145814">
              <w:t xml:space="preserve">Common European Framework of Reference </w:t>
            </w:r>
            <w:r w:rsidR="00EC4DD6">
              <w:t xml:space="preserve">(CEFR) </w:t>
            </w:r>
            <w:r w:rsidR="00EC4DD6" w:rsidRPr="00145814">
              <w:t>for Language Teaching</w:t>
            </w:r>
            <w:r w:rsidR="00EC4DD6">
              <w:t xml:space="preserve"> Level B1. The revised content of </w:t>
            </w:r>
            <w:r w:rsidR="00EC4DD6" w:rsidRPr="00EC4DD6">
              <w:t xml:space="preserve">ENG101 English Communication </w:t>
            </w:r>
            <w:r w:rsidRPr="00145814">
              <w:t xml:space="preserve">and </w:t>
            </w:r>
            <w:r w:rsidR="00EC4DD6" w:rsidRPr="00EC4DD6">
              <w:t xml:space="preserve">ENG102 English Writing </w:t>
            </w:r>
            <w:r w:rsidRPr="00145814">
              <w:t>correspond</w:t>
            </w:r>
            <w:r w:rsidR="00EC4DD6">
              <w:t>s</w:t>
            </w:r>
            <w:r w:rsidRPr="00145814">
              <w:t xml:space="preserve"> to CEFR Level B2, and </w:t>
            </w:r>
            <w:r w:rsidR="00EC4DD6" w:rsidRPr="00EC4DD6">
              <w:t xml:space="preserve">ENG201 Advanced English </w:t>
            </w:r>
            <w:r w:rsidRPr="00145814">
              <w:t>correspond</w:t>
            </w:r>
            <w:r>
              <w:t>s</w:t>
            </w:r>
            <w:r w:rsidRPr="00145814">
              <w:t xml:space="preserve"> to CE</w:t>
            </w:r>
            <w:r>
              <w:t xml:space="preserve">FR Level C1/C2. </w:t>
            </w:r>
            <w:r w:rsidRPr="000F35A8">
              <w:t xml:space="preserve">In </w:t>
            </w:r>
            <w:r w:rsidRPr="000F35A8">
              <w:rPr>
                <w:b/>
              </w:rPr>
              <w:t>Annex</w:t>
            </w:r>
            <w:r w:rsidR="000F35A8" w:rsidRPr="000F35A8">
              <w:rPr>
                <w:b/>
              </w:rPr>
              <w:t>es</w:t>
            </w:r>
            <w:r w:rsidRPr="000F35A8">
              <w:rPr>
                <w:b/>
              </w:rPr>
              <w:t xml:space="preserve"> </w:t>
            </w:r>
            <w:r w:rsidR="000F35A8" w:rsidRPr="000F35A8">
              <w:rPr>
                <w:b/>
              </w:rPr>
              <w:t>2-4</w:t>
            </w:r>
            <w:r>
              <w:t xml:space="preserve"> you may find the revised syllabuses. </w:t>
            </w:r>
          </w:p>
        </w:tc>
      </w:tr>
      <w:tr w:rsidR="00DC21FC" w:rsidRPr="003E0076" w14:paraId="55F7D9BB" w14:textId="77777777" w:rsidTr="00AA4E59">
        <w:tc>
          <w:tcPr>
            <w:tcW w:w="562" w:type="dxa"/>
            <w:vAlign w:val="center"/>
          </w:tcPr>
          <w:p w14:paraId="232E1659" w14:textId="77777777" w:rsidR="00DC21FC" w:rsidRPr="00EC4DD6" w:rsidRDefault="00DC21FC" w:rsidP="00DC21FC">
            <w:pPr>
              <w:pStyle w:val="ListParagraph"/>
              <w:numPr>
                <w:ilvl w:val="0"/>
                <w:numId w:val="1"/>
              </w:numPr>
              <w:ind w:left="0" w:firstLine="0"/>
              <w:contextualSpacing w:val="0"/>
              <w:jc w:val="right"/>
              <w:rPr>
                <w:lang w:val="en-US"/>
              </w:rPr>
            </w:pPr>
          </w:p>
        </w:tc>
        <w:tc>
          <w:tcPr>
            <w:tcW w:w="6733" w:type="dxa"/>
            <w:vAlign w:val="center"/>
          </w:tcPr>
          <w:p w14:paraId="3A1C287A" w14:textId="0803059D" w:rsidR="00DC21FC" w:rsidRDefault="00DC21FC" w:rsidP="005073F0">
            <w:pPr>
              <w:spacing w:before="240"/>
              <w:jc w:val="both"/>
            </w:pPr>
            <w:r>
              <w:t xml:space="preserve">About the point of 13 out of 20 elective courses being unrelated to the topic of the program, the College offers the explanation that it follows the US educational system. However this practice clearly contradicts the programs of the universities that the College drew inspiration from when designing the program, as well as the curricula recommendations of professional organisations in Computer Science, such as ACM and IEEE. The College has taken steps to address this issue, by increasing the amount of major requirements to 132 ECTS and decreasing the amount of general education electives to 54 ECTS (from 66 ECTS previously). </w:t>
            </w:r>
            <w:r w:rsidRPr="00C412F6">
              <w:rPr>
                <w:b/>
              </w:rPr>
              <w:t>This point is therefore partially satisfied.</w:t>
            </w:r>
          </w:p>
        </w:tc>
        <w:tc>
          <w:tcPr>
            <w:tcW w:w="6734" w:type="dxa"/>
            <w:vAlign w:val="center"/>
          </w:tcPr>
          <w:p w14:paraId="4AEB36E6" w14:textId="77777777" w:rsidR="00DC21FC" w:rsidRDefault="00DC21FC" w:rsidP="00DC21FC">
            <w:pPr>
              <w:jc w:val="both"/>
              <w:rPr>
                <w:lang w:val="en-US"/>
              </w:rPr>
            </w:pPr>
          </w:p>
          <w:p w14:paraId="6549A97C" w14:textId="3552BECF" w:rsidR="00DC21FC" w:rsidRPr="00D457E2" w:rsidRDefault="00DC21FC" w:rsidP="000F35A8">
            <w:pPr>
              <w:jc w:val="both"/>
              <w:rPr>
                <w:lang w:val="en-US"/>
              </w:rPr>
            </w:pPr>
            <w:r>
              <w:rPr>
                <w:lang w:val="en-US"/>
              </w:rPr>
              <w:t xml:space="preserve">Following EEC further comments/recommendations we have revised the curriculum of the program. </w:t>
            </w:r>
            <w:r w:rsidRPr="000F35A8">
              <w:rPr>
                <w:lang w:val="en-US"/>
              </w:rPr>
              <w:t xml:space="preserve">In </w:t>
            </w:r>
            <w:r w:rsidRPr="000F35A8">
              <w:rPr>
                <w:b/>
                <w:lang w:val="en-US"/>
              </w:rPr>
              <w:t xml:space="preserve">Annex </w:t>
            </w:r>
            <w:r w:rsidR="000F35A8" w:rsidRPr="000F35A8">
              <w:rPr>
                <w:b/>
                <w:lang w:val="en-US"/>
              </w:rPr>
              <w:t>5</w:t>
            </w:r>
            <w:r w:rsidRPr="000F35A8">
              <w:rPr>
                <w:lang w:val="en-US"/>
              </w:rPr>
              <w:t xml:space="preserve"> you</w:t>
            </w:r>
            <w:r>
              <w:rPr>
                <w:lang w:val="en-US"/>
              </w:rPr>
              <w:t xml:space="preserve"> may find the revised curriculum. </w:t>
            </w:r>
            <w:r w:rsidRPr="00D457E2">
              <w:rPr>
                <w:lang w:val="en-US"/>
              </w:rPr>
              <w:t>General Education ECTS Requirements were further reduced from 54 to 42</w:t>
            </w:r>
            <w:r>
              <w:rPr>
                <w:lang w:val="en-US"/>
              </w:rPr>
              <w:t xml:space="preserve"> and </w:t>
            </w:r>
            <w:r w:rsidRPr="00D457E2">
              <w:rPr>
                <w:lang w:val="en-US"/>
              </w:rPr>
              <w:t>Major ECTS Requirements were further increased from 132 to 144</w:t>
            </w:r>
            <w:r>
              <w:rPr>
                <w:lang w:val="en-US"/>
              </w:rPr>
              <w:t xml:space="preserve">. In addition, the number of ECTS credits for the </w:t>
            </w:r>
            <w:r w:rsidRPr="00D457E2">
              <w:rPr>
                <w:lang w:val="en-US"/>
              </w:rPr>
              <w:t xml:space="preserve">Computer Science Project I </w:t>
            </w:r>
            <w:r>
              <w:rPr>
                <w:lang w:val="en-US"/>
              </w:rPr>
              <w:t>and II were increased from 6 to 12 credits each. Therefore, the total number of ECTS credits carried by the Thesis of this program is 24.</w:t>
            </w:r>
          </w:p>
        </w:tc>
      </w:tr>
      <w:tr w:rsidR="00DC21FC" w:rsidRPr="003E0076" w14:paraId="3A00E3AF" w14:textId="77777777" w:rsidTr="00AA4E59">
        <w:tc>
          <w:tcPr>
            <w:tcW w:w="562" w:type="dxa"/>
            <w:vAlign w:val="center"/>
          </w:tcPr>
          <w:p w14:paraId="15D26C3E" w14:textId="77777777" w:rsidR="00DC21FC" w:rsidRPr="00D457E2" w:rsidRDefault="00DC21FC" w:rsidP="00DC21FC">
            <w:pPr>
              <w:pStyle w:val="ListParagraph"/>
              <w:numPr>
                <w:ilvl w:val="0"/>
                <w:numId w:val="1"/>
              </w:numPr>
              <w:ind w:left="0" w:firstLine="0"/>
              <w:contextualSpacing w:val="0"/>
              <w:jc w:val="right"/>
              <w:rPr>
                <w:lang w:val="en-US"/>
              </w:rPr>
            </w:pPr>
          </w:p>
        </w:tc>
        <w:tc>
          <w:tcPr>
            <w:tcW w:w="6733" w:type="dxa"/>
            <w:vAlign w:val="center"/>
          </w:tcPr>
          <w:p w14:paraId="1F73EFAE" w14:textId="77777777" w:rsidR="00DC21FC" w:rsidRDefault="00DC21FC" w:rsidP="00DC21FC">
            <w:pPr>
              <w:spacing w:before="240"/>
              <w:jc w:val="both"/>
            </w:pPr>
            <w:r>
              <w:t>Regarding the point about collecting, monitoring and analysing information on the career path of students, the College states that they will intensify their efforts to do so. No information is provided as to how and when this will be done. Therefore this point is partially satisfied.</w:t>
            </w:r>
          </w:p>
          <w:p w14:paraId="448F36B4" w14:textId="77777777" w:rsidR="00DC21FC" w:rsidRDefault="00DC21FC" w:rsidP="00DC21FC">
            <w:pPr>
              <w:spacing w:before="240"/>
              <w:jc w:val="both"/>
            </w:pPr>
          </w:p>
        </w:tc>
        <w:tc>
          <w:tcPr>
            <w:tcW w:w="6734" w:type="dxa"/>
            <w:vAlign w:val="center"/>
          </w:tcPr>
          <w:p w14:paraId="3298B199" w14:textId="77777777" w:rsidR="006A6BAC" w:rsidRPr="006A6BAC" w:rsidRDefault="006A6BAC" w:rsidP="00DC21FC">
            <w:pPr>
              <w:jc w:val="both"/>
            </w:pPr>
            <w:r w:rsidRPr="006A6BAC">
              <w:t>In our Response report of 11/3/2022 we wrote that we will intensify our efforts to effectively collect, monitor and analyse information on the career paths of our graduates.</w:t>
            </w:r>
          </w:p>
          <w:p w14:paraId="06C0156F" w14:textId="77777777" w:rsidR="006A6BAC" w:rsidRPr="006A6BAC" w:rsidRDefault="006A6BAC" w:rsidP="00DC21FC">
            <w:pPr>
              <w:jc w:val="both"/>
            </w:pPr>
          </w:p>
          <w:p w14:paraId="097B6531" w14:textId="6CF506D7" w:rsidR="006A6BAC" w:rsidRPr="006A6BAC" w:rsidRDefault="006A6BAC" w:rsidP="00DC21FC">
            <w:pPr>
              <w:jc w:val="both"/>
            </w:pPr>
            <w:r w:rsidRPr="006A6BAC">
              <w:t>Specifically</w:t>
            </w:r>
            <w:r>
              <w:t>, we decided the following actions with the aim to collect the necessary information:</w:t>
            </w:r>
            <w:r w:rsidRPr="006A6BAC">
              <w:t xml:space="preserve"> </w:t>
            </w:r>
          </w:p>
          <w:p w14:paraId="2E224CC5" w14:textId="4C2ADED9" w:rsidR="006A6BAC" w:rsidRPr="006A6BAC" w:rsidRDefault="006A6BAC" w:rsidP="00DC21FC">
            <w:pPr>
              <w:jc w:val="both"/>
            </w:pPr>
          </w:p>
          <w:p w14:paraId="374A074E" w14:textId="1BD902B7" w:rsidR="00DC21FC" w:rsidRPr="006A6BAC" w:rsidRDefault="00DC21FC" w:rsidP="00DC21FC">
            <w:pPr>
              <w:pStyle w:val="ListParagraph"/>
              <w:numPr>
                <w:ilvl w:val="0"/>
                <w:numId w:val="3"/>
              </w:numPr>
              <w:jc w:val="both"/>
            </w:pPr>
            <w:r w:rsidRPr="006A6BAC">
              <w:t>Biannually email-based surveys</w:t>
            </w:r>
            <w:r w:rsidR="006A6BAC" w:rsidRPr="006A6BAC">
              <w:t xml:space="preserve"> to our graduates regarding their employment</w:t>
            </w:r>
            <w:r w:rsidRPr="006A6BAC">
              <w:t>;</w:t>
            </w:r>
          </w:p>
          <w:p w14:paraId="2E070238" w14:textId="48330324" w:rsidR="00DC21FC" w:rsidRPr="006A6BAC" w:rsidRDefault="006A6BAC" w:rsidP="00DC21FC">
            <w:pPr>
              <w:pStyle w:val="ListParagraph"/>
              <w:numPr>
                <w:ilvl w:val="0"/>
                <w:numId w:val="3"/>
              </w:numPr>
              <w:jc w:val="both"/>
            </w:pPr>
            <w:r w:rsidRPr="006A6BAC">
              <w:t>Ask graduates to complete o</w:t>
            </w:r>
            <w:r w:rsidR="00DC21FC" w:rsidRPr="006A6BAC">
              <w:t xml:space="preserve">nline surveys </w:t>
            </w:r>
            <w:r w:rsidRPr="006A6BAC">
              <w:t>regarding their employment status and details</w:t>
            </w:r>
            <w:r w:rsidR="00DC21FC" w:rsidRPr="006A6BAC">
              <w:t xml:space="preserve"> (such as via Google Forms, </w:t>
            </w:r>
            <w:proofErr w:type="spellStart"/>
            <w:r w:rsidR="00DC21FC" w:rsidRPr="006A6BAC">
              <w:t>SurveyMonkey</w:t>
            </w:r>
            <w:proofErr w:type="spellEnd"/>
            <w:r w:rsidR="00DC21FC" w:rsidRPr="006A6BAC">
              <w:t xml:space="preserve">, </w:t>
            </w:r>
            <w:proofErr w:type="spellStart"/>
            <w:r w:rsidR="00DC21FC" w:rsidRPr="006A6BAC">
              <w:t>Jotform</w:t>
            </w:r>
            <w:proofErr w:type="spellEnd"/>
            <w:r w:rsidR="00DC21FC" w:rsidRPr="006A6BAC">
              <w:t>)</w:t>
            </w:r>
          </w:p>
          <w:p w14:paraId="5DECF1BD" w14:textId="1256722F" w:rsidR="00DC21FC" w:rsidRPr="006A6BAC" w:rsidRDefault="006A6BAC" w:rsidP="00DC21FC">
            <w:pPr>
              <w:pStyle w:val="ListParagraph"/>
              <w:numPr>
                <w:ilvl w:val="0"/>
                <w:numId w:val="3"/>
              </w:numPr>
              <w:jc w:val="both"/>
            </w:pPr>
            <w:r w:rsidRPr="006A6BAC">
              <w:t>F</w:t>
            </w:r>
            <w:r w:rsidR="00DC21FC" w:rsidRPr="006A6BAC">
              <w:t xml:space="preserve">requent communications </w:t>
            </w:r>
            <w:r w:rsidRPr="006A6BAC">
              <w:t xml:space="preserve">with graduates through Social Media platforms </w:t>
            </w:r>
            <w:r w:rsidR="00DC21FC" w:rsidRPr="006A6BAC">
              <w:t xml:space="preserve">to </w:t>
            </w:r>
            <w:r w:rsidRPr="006A6BAC">
              <w:t>keep in contact with graduates and develop a friendly relationship to enable us to expand our network of graduates and collect information more easily</w:t>
            </w:r>
            <w:r w:rsidR="00DC21FC" w:rsidRPr="006A6BAC">
              <w:t>;</w:t>
            </w:r>
          </w:p>
          <w:p w14:paraId="6602BFDE" w14:textId="700C469B" w:rsidR="00DC21FC" w:rsidRPr="006A6BAC" w:rsidRDefault="00DC21FC" w:rsidP="00DC21FC">
            <w:pPr>
              <w:pStyle w:val="ListParagraph"/>
              <w:numPr>
                <w:ilvl w:val="0"/>
                <w:numId w:val="3"/>
              </w:numPr>
              <w:jc w:val="both"/>
            </w:pPr>
            <w:r w:rsidRPr="006A6BAC">
              <w:lastRenderedPageBreak/>
              <w:t xml:space="preserve">Use LinkedIn to find </w:t>
            </w:r>
            <w:r w:rsidR="006A6BAC" w:rsidRPr="006A6BAC">
              <w:t xml:space="preserve">College graduates </w:t>
            </w:r>
            <w:r w:rsidRPr="006A6BAC">
              <w:t xml:space="preserve">and to track </w:t>
            </w:r>
            <w:r w:rsidR="006A6BAC" w:rsidRPr="006A6BAC">
              <w:t xml:space="preserve">their </w:t>
            </w:r>
            <w:r w:rsidRPr="006A6BAC">
              <w:t xml:space="preserve">career paths; </w:t>
            </w:r>
          </w:p>
          <w:p w14:paraId="053E8C31" w14:textId="17B30B4C" w:rsidR="00DC21FC" w:rsidRPr="006A6BAC" w:rsidRDefault="00DC21FC" w:rsidP="00DC21FC">
            <w:pPr>
              <w:pStyle w:val="ListParagraph"/>
              <w:numPr>
                <w:ilvl w:val="0"/>
                <w:numId w:val="3"/>
              </w:numPr>
              <w:jc w:val="both"/>
            </w:pPr>
            <w:r w:rsidRPr="006A6BAC">
              <w:t xml:space="preserve">Send multiple scheduled emails </w:t>
            </w:r>
            <w:r w:rsidR="006A6BAC" w:rsidRPr="006A6BAC">
              <w:t xml:space="preserve">to graduates </w:t>
            </w:r>
            <w:r w:rsidRPr="006A6BAC">
              <w:t>3, 6, and 12-months after graduation</w:t>
            </w:r>
            <w:r w:rsidR="006A6BAC" w:rsidRPr="006A6BAC">
              <w:t xml:space="preserve"> asking our graduates to provide information regarding their employment status and details</w:t>
            </w:r>
            <w:r w:rsidRPr="006A6BAC">
              <w:t>;</w:t>
            </w:r>
            <w:r w:rsidR="006A6BAC" w:rsidRPr="006A6BAC">
              <w:t xml:space="preserve"> and</w:t>
            </w:r>
          </w:p>
          <w:p w14:paraId="4532695D" w14:textId="38D1CA64" w:rsidR="00DC21FC" w:rsidRPr="006A6BAC" w:rsidRDefault="006A6BAC" w:rsidP="006A6BAC">
            <w:pPr>
              <w:pStyle w:val="ListParagraph"/>
              <w:numPr>
                <w:ilvl w:val="0"/>
                <w:numId w:val="3"/>
              </w:numPr>
              <w:jc w:val="both"/>
            </w:pPr>
            <w:r w:rsidRPr="006A6BAC">
              <w:t>Text message and telephone (</w:t>
            </w:r>
            <w:r w:rsidR="00DC21FC" w:rsidRPr="006A6BAC">
              <w:t>whenever possible</w:t>
            </w:r>
            <w:r w:rsidRPr="006A6BAC">
              <w:t>) those we have not responded to our emails</w:t>
            </w:r>
            <w:r w:rsidR="00DC21FC" w:rsidRPr="006A6BAC">
              <w:t xml:space="preserve"> to reach out non-responders</w:t>
            </w:r>
            <w:r w:rsidRPr="006A6BAC">
              <w:t>.</w:t>
            </w:r>
          </w:p>
        </w:tc>
      </w:tr>
      <w:tr w:rsidR="00DC21FC" w:rsidRPr="003E0076" w14:paraId="2CDB7F39" w14:textId="77777777" w:rsidTr="00AA4E59">
        <w:tc>
          <w:tcPr>
            <w:tcW w:w="562" w:type="dxa"/>
            <w:vAlign w:val="center"/>
          </w:tcPr>
          <w:p w14:paraId="43BCF50F" w14:textId="77777777" w:rsidR="00DC21FC" w:rsidRPr="00DC21FC" w:rsidRDefault="00DC21FC" w:rsidP="00DC21FC">
            <w:pPr>
              <w:pStyle w:val="ListParagraph"/>
              <w:numPr>
                <w:ilvl w:val="0"/>
                <w:numId w:val="1"/>
              </w:numPr>
              <w:ind w:left="0" w:firstLine="0"/>
              <w:contextualSpacing w:val="0"/>
              <w:jc w:val="right"/>
            </w:pPr>
          </w:p>
        </w:tc>
        <w:tc>
          <w:tcPr>
            <w:tcW w:w="6733" w:type="dxa"/>
            <w:vAlign w:val="center"/>
          </w:tcPr>
          <w:p w14:paraId="431211E5" w14:textId="51D7EC24" w:rsidR="00DC21FC" w:rsidRDefault="00DC21FC" w:rsidP="00DC21FC">
            <w:pPr>
              <w:spacing w:before="240"/>
              <w:jc w:val="both"/>
            </w:pPr>
            <w:r>
              <w:t>Regarding the point about collecting, monitoring and analysing information on the student population, information on nationality has been provided, but not on gender. Therefore this point is partially satisfied.</w:t>
            </w:r>
          </w:p>
        </w:tc>
        <w:tc>
          <w:tcPr>
            <w:tcW w:w="6734" w:type="dxa"/>
            <w:vAlign w:val="center"/>
          </w:tcPr>
          <w:p w14:paraId="2745690A" w14:textId="6D83D618" w:rsidR="00DC21FC" w:rsidRPr="005663E9" w:rsidRDefault="00DC21FC" w:rsidP="000F35A8">
            <w:pPr>
              <w:jc w:val="both"/>
              <w:rPr>
                <w:lang w:val="en-US"/>
              </w:rPr>
            </w:pPr>
            <w:r>
              <w:rPr>
                <w:lang w:val="en-US"/>
              </w:rPr>
              <w:t xml:space="preserve">In </w:t>
            </w:r>
            <w:r w:rsidRPr="000F35A8">
              <w:rPr>
                <w:b/>
                <w:lang w:val="en-US"/>
              </w:rPr>
              <w:t xml:space="preserve">Annex </w:t>
            </w:r>
            <w:r w:rsidR="000F35A8" w:rsidRPr="000F35A8">
              <w:rPr>
                <w:b/>
                <w:lang w:val="en-US"/>
              </w:rPr>
              <w:t>6</w:t>
            </w:r>
            <w:r w:rsidRPr="005663E9">
              <w:rPr>
                <w:color w:val="FF0000"/>
                <w:lang w:val="en-US"/>
              </w:rPr>
              <w:t xml:space="preserve"> </w:t>
            </w:r>
            <w:r>
              <w:rPr>
                <w:lang w:val="en-US"/>
              </w:rPr>
              <w:t>you may find a table with a b</w:t>
            </w:r>
            <w:r w:rsidRPr="005663E9">
              <w:rPr>
                <w:lang w:val="en-US"/>
              </w:rPr>
              <w:t xml:space="preserve">reakdown of students who progressed, withdrew or graduated, by year and gender (both raw numbers and total percentages) for the past 4 </w:t>
            </w:r>
            <w:r w:rsidR="0070650D">
              <w:rPr>
                <w:lang w:val="en-US"/>
              </w:rPr>
              <w:t xml:space="preserve">academic </w:t>
            </w:r>
            <w:r w:rsidRPr="005663E9">
              <w:rPr>
                <w:lang w:val="en-US"/>
              </w:rPr>
              <w:t>years</w:t>
            </w:r>
            <w:r>
              <w:rPr>
                <w:lang w:val="en-US"/>
              </w:rPr>
              <w:t>.</w:t>
            </w:r>
          </w:p>
        </w:tc>
      </w:tr>
      <w:tr w:rsidR="00DC21FC" w:rsidRPr="00C412F6" w14:paraId="69A75C68" w14:textId="77777777" w:rsidTr="00AA4E59">
        <w:tc>
          <w:tcPr>
            <w:tcW w:w="562" w:type="dxa"/>
            <w:vAlign w:val="center"/>
          </w:tcPr>
          <w:p w14:paraId="44715545" w14:textId="77777777" w:rsidR="00DC21FC" w:rsidRPr="005663E9" w:rsidRDefault="00DC21FC" w:rsidP="00DC21FC">
            <w:pPr>
              <w:pStyle w:val="ListParagraph"/>
              <w:numPr>
                <w:ilvl w:val="0"/>
                <w:numId w:val="1"/>
              </w:numPr>
              <w:ind w:left="0" w:firstLine="0"/>
              <w:contextualSpacing w:val="0"/>
              <w:jc w:val="right"/>
              <w:rPr>
                <w:lang w:val="en-US"/>
              </w:rPr>
            </w:pPr>
          </w:p>
        </w:tc>
        <w:tc>
          <w:tcPr>
            <w:tcW w:w="6733" w:type="dxa"/>
            <w:vAlign w:val="center"/>
          </w:tcPr>
          <w:p w14:paraId="4AE10F48" w14:textId="5517E32F" w:rsidR="00DC21FC" w:rsidRPr="00C412F6" w:rsidRDefault="00DC21FC" w:rsidP="00DC21FC">
            <w:pPr>
              <w:spacing w:before="240"/>
              <w:jc w:val="both"/>
            </w:pPr>
            <w:r>
              <w:t xml:space="preserve">Regarding the point about collecting, monitoring and analysing information on student progression, success and drop-out rates, some information has been provided for the last 4 years, despite the program operating for more than 20 years. </w:t>
            </w:r>
            <w:r w:rsidRPr="00C412F6">
              <w:rPr>
                <w:b/>
              </w:rPr>
              <w:t>This point is therefore partially satisfied.</w:t>
            </w:r>
          </w:p>
        </w:tc>
        <w:tc>
          <w:tcPr>
            <w:tcW w:w="6734" w:type="dxa"/>
            <w:vAlign w:val="center"/>
          </w:tcPr>
          <w:p w14:paraId="340C027F" w14:textId="79B46610" w:rsidR="00DC21FC" w:rsidRPr="00C412F6" w:rsidRDefault="00DC21FC" w:rsidP="000F35A8">
            <w:pPr>
              <w:jc w:val="both"/>
            </w:pPr>
            <w:r>
              <w:rPr>
                <w:lang w:val="en-US"/>
              </w:rPr>
              <w:t xml:space="preserve">In </w:t>
            </w:r>
            <w:r w:rsidRPr="000F35A8">
              <w:rPr>
                <w:b/>
                <w:lang w:val="en-US"/>
              </w:rPr>
              <w:t xml:space="preserve">Annex </w:t>
            </w:r>
            <w:r w:rsidR="000F35A8" w:rsidRPr="000F35A8">
              <w:rPr>
                <w:b/>
                <w:lang w:val="en-US"/>
              </w:rPr>
              <w:t>7</w:t>
            </w:r>
            <w:r w:rsidRPr="005663E9">
              <w:rPr>
                <w:color w:val="FF0000"/>
                <w:lang w:val="en-US"/>
              </w:rPr>
              <w:t xml:space="preserve"> </w:t>
            </w:r>
            <w:r>
              <w:rPr>
                <w:lang w:val="en-US"/>
              </w:rPr>
              <w:t>you may find a table with a b</w:t>
            </w:r>
            <w:r w:rsidRPr="005663E9">
              <w:rPr>
                <w:lang w:val="en-US"/>
              </w:rPr>
              <w:t xml:space="preserve">reakdown of students who progressed, withdrew or graduated, by year and gender (both raw numbers and total percentages) for the </w:t>
            </w:r>
            <w:r>
              <w:rPr>
                <w:lang w:val="en-US"/>
              </w:rPr>
              <w:t xml:space="preserve">academic </w:t>
            </w:r>
            <w:r w:rsidRPr="005663E9">
              <w:rPr>
                <w:lang w:val="en-US"/>
              </w:rPr>
              <w:t>years</w:t>
            </w:r>
            <w:r>
              <w:rPr>
                <w:lang w:val="en-US"/>
              </w:rPr>
              <w:t xml:space="preserve"> 2013-2014 to 2016-2017. It was difficult to collect accurate information for the years prior to 2013-2014. With this table and the table in </w:t>
            </w:r>
            <w:r w:rsidRPr="000F35A8">
              <w:rPr>
                <w:b/>
                <w:color w:val="000000" w:themeColor="text1"/>
                <w:lang w:val="en-US"/>
              </w:rPr>
              <w:t xml:space="preserve">Annex </w:t>
            </w:r>
            <w:r w:rsidR="000F35A8" w:rsidRPr="000F35A8">
              <w:rPr>
                <w:b/>
                <w:color w:val="000000" w:themeColor="text1"/>
                <w:lang w:val="en-US"/>
              </w:rPr>
              <w:t>6</w:t>
            </w:r>
            <w:r w:rsidRPr="00B561E7">
              <w:rPr>
                <w:color w:val="000000" w:themeColor="text1"/>
                <w:lang w:val="en-US"/>
              </w:rPr>
              <w:t xml:space="preserve"> </w:t>
            </w:r>
            <w:r>
              <w:rPr>
                <w:lang w:val="en-US"/>
              </w:rPr>
              <w:t xml:space="preserve">we have provided the requested statistical data for </w:t>
            </w:r>
            <w:r w:rsidR="0070650D">
              <w:rPr>
                <w:lang w:val="en-US"/>
              </w:rPr>
              <w:t xml:space="preserve">the past </w:t>
            </w:r>
            <w:r>
              <w:rPr>
                <w:lang w:val="en-US"/>
              </w:rPr>
              <w:t>8 academic years.</w:t>
            </w:r>
          </w:p>
        </w:tc>
      </w:tr>
      <w:tr w:rsidR="00DC21FC" w:rsidRPr="00C412F6" w14:paraId="524C93AE" w14:textId="77777777" w:rsidTr="00C412F6">
        <w:trPr>
          <w:trHeight w:val="567"/>
        </w:trPr>
        <w:tc>
          <w:tcPr>
            <w:tcW w:w="14029" w:type="dxa"/>
            <w:gridSpan w:val="3"/>
            <w:shd w:val="clear" w:color="auto" w:fill="D9D9D9" w:themeFill="background1" w:themeFillShade="D9"/>
            <w:vAlign w:val="center"/>
          </w:tcPr>
          <w:p w14:paraId="5C3373D6" w14:textId="1C627B3B" w:rsidR="00DC21FC" w:rsidRPr="00C412F6" w:rsidRDefault="00DC21FC" w:rsidP="00DC21FC">
            <w:pPr>
              <w:spacing w:line="252" w:lineRule="auto"/>
              <w:rPr>
                <w:rFonts w:cs="Arial"/>
                <w:b/>
                <w:lang w:eastAsia="en-GB"/>
              </w:rPr>
            </w:pPr>
            <w:r w:rsidRPr="00D32CF0">
              <w:rPr>
                <w:rFonts w:cs="Arial"/>
                <w:b/>
                <w:lang w:eastAsia="en-GB"/>
              </w:rPr>
              <w:t xml:space="preserve">2. </w:t>
            </w:r>
            <w:r w:rsidRPr="00C412F6">
              <w:rPr>
                <w:rFonts w:cs="Arial"/>
                <w:b/>
                <w:lang w:eastAsia="en-GB"/>
              </w:rPr>
              <w:t>Student - centred learning, teaching and assessment (ESG 1.3)</w:t>
            </w:r>
          </w:p>
        </w:tc>
      </w:tr>
      <w:tr w:rsidR="00DC21FC" w:rsidRPr="00C412F6" w14:paraId="150B5693" w14:textId="77777777" w:rsidTr="00AA4E59">
        <w:tc>
          <w:tcPr>
            <w:tcW w:w="562" w:type="dxa"/>
            <w:vAlign w:val="center"/>
          </w:tcPr>
          <w:p w14:paraId="5ECA5C24"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1F25D046" w14:textId="2E41123A" w:rsidR="00DC21FC" w:rsidRPr="00C412F6" w:rsidRDefault="00DC21FC" w:rsidP="00DC21FC">
            <w:pPr>
              <w:jc w:val="both"/>
            </w:pPr>
            <w:r w:rsidRPr="00C412F6">
              <w:t xml:space="preserve">The point about the competence in Computer Science of the instructors </w:t>
            </w:r>
            <w:r w:rsidRPr="00C412F6">
              <w:rPr>
                <w:b/>
              </w:rPr>
              <w:t>has not been satisfied</w:t>
            </w:r>
            <w:r w:rsidRPr="00C412F6">
              <w:t>, as the answer only mentions Table 4 of the original proposal where we see only 5 instructors (out 17) with degrees in Computer Science or similar.</w:t>
            </w:r>
          </w:p>
        </w:tc>
        <w:tc>
          <w:tcPr>
            <w:tcW w:w="6734" w:type="dxa"/>
            <w:vAlign w:val="center"/>
          </w:tcPr>
          <w:p w14:paraId="31775E8C" w14:textId="0D7F130E" w:rsidR="00DC21FC" w:rsidRPr="00C412F6" w:rsidRDefault="00DC21FC" w:rsidP="00DC21FC">
            <w:pPr>
              <w:spacing w:line="252" w:lineRule="auto"/>
              <w:jc w:val="both"/>
              <w:rPr>
                <w:rFonts w:cs="Arial"/>
                <w:lang w:eastAsia="en-GB"/>
              </w:rPr>
            </w:pPr>
            <w:r>
              <w:rPr>
                <w:rFonts w:cs="Arial"/>
                <w:lang w:eastAsia="en-GB"/>
              </w:rPr>
              <w:t>In Table 4 of the original proposal there are 6 instructors who</w:t>
            </w:r>
            <w:r w:rsidRPr="00055A0B">
              <w:rPr>
                <w:rFonts w:cs="Arial"/>
                <w:lang w:eastAsia="en-GB"/>
              </w:rPr>
              <w:t xml:space="preserve"> have qualifications in computer science or qualifications closely related to computer science (e.g. Computer Engineering).</w:t>
            </w:r>
            <w:r>
              <w:rPr>
                <w:rFonts w:cs="Arial"/>
                <w:lang w:eastAsia="en-GB"/>
              </w:rPr>
              <w:t xml:space="preserve"> In addition, as explained in our Response report</w:t>
            </w:r>
            <w:r w:rsidR="0070650D">
              <w:rPr>
                <w:rFonts w:cs="Arial"/>
                <w:lang w:eastAsia="en-GB"/>
              </w:rPr>
              <w:t xml:space="preserve"> of 11/3/2022</w:t>
            </w:r>
            <w:r>
              <w:rPr>
                <w:rFonts w:cs="Arial"/>
                <w:lang w:eastAsia="en-GB"/>
              </w:rPr>
              <w:t xml:space="preserve"> </w:t>
            </w:r>
            <w:r w:rsidRPr="00055A0B">
              <w:rPr>
                <w:rFonts w:cs="Arial"/>
                <w:lang w:eastAsia="en-GB"/>
              </w:rPr>
              <w:t xml:space="preserve">we have agreed to employ Dr. </w:t>
            </w:r>
            <w:proofErr w:type="spellStart"/>
            <w:r w:rsidRPr="00055A0B">
              <w:rPr>
                <w:rFonts w:cs="Arial"/>
                <w:lang w:eastAsia="en-GB"/>
              </w:rPr>
              <w:t>Ioannis</w:t>
            </w:r>
            <w:proofErr w:type="spellEnd"/>
            <w:r w:rsidRPr="00055A0B">
              <w:rPr>
                <w:rFonts w:cs="Arial"/>
                <w:lang w:eastAsia="en-GB"/>
              </w:rPr>
              <w:t xml:space="preserve"> </w:t>
            </w:r>
            <w:proofErr w:type="spellStart"/>
            <w:r w:rsidRPr="00055A0B">
              <w:rPr>
                <w:rFonts w:cs="Arial"/>
                <w:lang w:eastAsia="en-GB"/>
              </w:rPr>
              <w:t>Filippopoulos</w:t>
            </w:r>
            <w:proofErr w:type="spellEnd"/>
            <w:r>
              <w:rPr>
                <w:rFonts w:cs="Arial"/>
                <w:lang w:eastAsia="en-GB"/>
              </w:rPr>
              <w:t xml:space="preserve"> (Computer Science instructor) and following your recommendations in point 10 (see below) we have agreed to employ another Computer Science instructor</w:t>
            </w:r>
            <w:r w:rsidR="00071D5D">
              <w:rPr>
                <w:rFonts w:cs="Arial"/>
                <w:lang w:eastAsia="en-GB"/>
              </w:rPr>
              <w:t>,</w:t>
            </w:r>
            <w:r>
              <w:rPr>
                <w:rFonts w:cs="Arial"/>
                <w:lang w:eastAsia="en-GB"/>
              </w:rPr>
              <w:t xml:space="preserve"> Mr Michael Savva.</w:t>
            </w:r>
          </w:p>
        </w:tc>
      </w:tr>
      <w:tr w:rsidR="00DC21FC" w:rsidRPr="00F578A5" w14:paraId="12EEEBCF" w14:textId="77777777" w:rsidTr="00AA4E59">
        <w:tc>
          <w:tcPr>
            <w:tcW w:w="562" w:type="dxa"/>
            <w:vAlign w:val="center"/>
          </w:tcPr>
          <w:p w14:paraId="1CA5FCC6" w14:textId="77777777" w:rsidR="00DC21FC" w:rsidRPr="00C412F6" w:rsidRDefault="00DC21FC" w:rsidP="00DC21FC">
            <w:pPr>
              <w:pStyle w:val="ListParagraph"/>
              <w:numPr>
                <w:ilvl w:val="0"/>
                <w:numId w:val="1"/>
              </w:numPr>
              <w:ind w:left="0" w:firstLine="0"/>
              <w:contextualSpacing w:val="0"/>
              <w:jc w:val="right"/>
            </w:pPr>
          </w:p>
        </w:tc>
        <w:tc>
          <w:tcPr>
            <w:tcW w:w="6733" w:type="dxa"/>
            <w:vAlign w:val="center"/>
          </w:tcPr>
          <w:p w14:paraId="26DEFBAB" w14:textId="2CFC9445" w:rsidR="00DC21FC" w:rsidRPr="00F578A5" w:rsidRDefault="00DC21FC" w:rsidP="00DC21FC">
            <w:pPr>
              <w:jc w:val="both"/>
            </w:pPr>
            <w:r w:rsidRPr="00C412F6">
              <w:t xml:space="preserve">The point about visiting guest speakers </w:t>
            </w:r>
            <w:r w:rsidRPr="00C412F6">
              <w:rPr>
                <w:b/>
              </w:rPr>
              <w:t>has not been satisfied</w:t>
            </w:r>
            <w:r w:rsidRPr="00C412F6">
              <w:t xml:space="preserve"> (admittedly, it will be in future after the pandemic terminates).</w:t>
            </w:r>
          </w:p>
        </w:tc>
        <w:tc>
          <w:tcPr>
            <w:tcW w:w="6734" w:type="dxa"/>
            <w:vAlign w:val="center"/>
          </w:tcPr>
          <w:p w14:paraId="1FA5B43E" w14:textId="53AFC47A" w:rsidR="00665750" w:rsidRDefault="00665750" w:rsidP="00DC21FC">
            <w:pPr>
              <w:spacing w:line="252" w:lineRule="auto"/>
              <w:jc w:val="both"/>
              <w:rPr>
                <w:rFonts w:cs="Arial"/>
                <w:lang w:eastAsia="en-GB"/>
              </w:rPr>
            </w:pPr>
            <w:r>
              <w:rPr>
                <w:rFonts w:cs="Arial"/>
                <w:lang w:eastAsia="en-GB"/>
              </w:rPr>
              <w:t xml:space="preserve">As stated in our </w:t>
            </w:r>
            <w:r w:rsidR="008A2A89" w:rsidRPr="008A2A89">
              <w:rPr>
                <w:rFonts w:cs="Arial"/>
                <w:lang w:eastAsia="en-GB"/>
              </w:rPr>
              <w:t>Response report of 11/3/2022</w:t>
            </w:r>
            <w:r>
              <w:rPr>
                <w:rFonts w:cs="Arial"/>
                <w:lang w:eastAsia="en-GB"/>
              </w:rPr>
              <w:t xml:space="preserve">, </w:t>
            </w:r>
            <w:r w:rsidR="0070650D">
              <w:rPr>
                <w:rFonts w:cs="Arial"/>
                <w:lang w:eastAsia="en-GB"/>
              </w:rPr>
              <w:t xml:space="preserve">adequate number of guest speakers will be invited to give speeches and lectures at the College </w:t>
            </w:r>
            <w:r>
              <w:rPr>
                <w:rFonts w:cs="Arial"/>
                <w:lang w:eastAsia="en-GB"/>
              </w:rPr>
              <w:t xml:space="preserve">upon lessened Covid-19 measures. </w:t>
            </w:r>
            <w:r w:rsidR="0070650D">
              <w:rPr>
                <w:rFonts w:cs="Arial"/>
                <w:lang w:eastAsia="en-GB"/>
              </w:rPr>
              <w:t>Despite the difficulties created by Covid-19</w:t>
            </w:r>
            <w:r>
              <w:rPr>
                <w:rFonts w:cs="Arial"/>
                <w:lang w:eastAsia="en-GB"/>
              </w:rPr>
              <w:t xml:space="preserve"> </w:t>
            </w:r>
            <w:r w:rsidR="0070650D">
              <w:rPr>
                <w:rFonts w:cs="Arial"/>
                <w:lang w:eastAsia="en-GB"/>
              </w:rPr>
              <w:t xml:space="preserve">recently </w:t>
            </w:r>
            <w:r>
              <w:rPr>
                <w:rFonts w:cs="Arial"/>
                <w:lang w:eastAsia="en-GB"/>
              </w:rPr>
              <w:t xml:space="preserve">the following </w:t>
            </w:r>
            <w:r w:rsidR="0070650D">
              <w:rPr>
                <w:rFonts w:cs="Arial"/>
                <w:lang w:eastAsia="en-GB"/>
              </w:rPr>
              <w:t>guest lectures took place at our College</w:t>
            </w:r>
            <w:r>
              <w:rPr>
                <w:rFonts w:cs="Arial"/>
                <w:lang w:eastAsia="en-GB"/>
              </w:rPr>
              <w:t>:</w:t>
            </w:r>
          </w:p>
          <w:p w14:paraId="1F56917D" w14:textId="7D27124C" w:rsidR="00DC21FC" w:rsidRDefault="00665750" w:rsidP="005F4664">
            <w:pPr>
              <w:pStyle w:val="ListParagraph"/>
              <w:numPr>
                <w:ilvl w:val="0"/>
                <w:numId w:val="5"/>
              </w:numPr>
              <w:spacing w:line="252" w:lineRule="auto"/>
              <w:jc w:val="both"/>
              <w:rPr>
                <w:rFonts w:cs="Arial"/>
                <w:lang w:eastAsia="en-GB"/>
              </w:rPr>
            </w:pPr>
            <w:r w:rsidRPr="00665750">
              <w:rPr>
                <w:rFonts w:cs="Arial"/>
                <w:lang w:eastAsia="en-GB"/>
              </w:rPr>
              <w:t xml:space="preserve">Ms Anastasia </w:t>
            </w:r>
            <w:proofErr w:type="spellStart"/>
            <w:r w:rsidRPr="00665750">
              <w:rPr>
                <w:rFonts w:cs="Arial"/>
                <w:lang w:eastAsia="en-GB"/>
              </w:rPr>
              <w:t>Apostolidou</w:t>
            </w:r>
            <w:proofErr w:type="spellEnd"/>
            <w:r w:rsidR="005F4664">
              <w:rPr>
                <w:rFonts w:cs="Arial"/>
                <w:lang w:eastAsia="en-GB"/>
              </w:rPr>
              <w:t>, the Marketing</w:t>
            </w:r>
            <w:r>
              <w:rPr>
                <w:rFonts w:cs="Arial"/>
                <w:lang w:eastAsia="en-GB"/>
              </w:rPr>
              <w:t xml:space="preserve"> Manager </w:t>
            </w:r>
            <w:r w:rsidR="005F4664">
              <w:rPr>
                <w:rFonts w:cs="Arial"/>
                <w:lang w:eastAsia="en-GB"/>
              </w:rPr>
              <w:t>of</w:t>
            </w:r>
            <w:r w:rsidRPr="00665750">
              <w:rPr>
                <w:rFonts w:cs="Arial"/>
                <w:lang w:eastAsia="en-GB"/>
              </w:rPr>
              <w:t xml:space="preserve"> G.</w:t>
            </w:r>
            <w:r w:rsidR="0070650D">
              <w:rPr>
                <w:rFonts w:cs="Arial"/>
                <w:lang w:eastAsia="en-GB"/>
              </w:rPr>
              <w:t xml:space="preserve"> </w:t>
            </w:r>
            <w:r w:rsidRPr="00665750">
              <w:rPr>
                <w:rFonts w:cs="Arial"/>
                <w:lang w:eastAsia="en-GB"/>
              </w:rPr>
              <w:t>Charalambous Ltd has given a</w:t>
            </w:r>
            <w:r>
              <w:rPr>
                <w:rFonts w:cs="Arial"/>
                <w:lang w:eastAsia="en-GB"/>
              </w:rPr>
              <w:t xml:space="preserve">n online </w:t>
            </w:r>
            <w:r w:rsidRPr="00665750">
              <w:rPr>
                <w:rFonts w:cs="Arial"/>
                <w:lang w:eastAsia="en-GB"/>
              </w:rPr>
              <w:t>lecture</w:t>
            </w:r>
            <w:r>
              <w:rPr>
                <w:rFonts w:cs="Arial"/>
                <w:lang w:eastAsia="en-GB"/>
              </w:rPr>
              <w:t xml:space="preserve"> on the 22</w:t>
            </w:r>
            <w:r w:rsidRPr="00665750">
              <w:rPr>
                <w:rFonts w:cs="Arial"/>
                <w:vertAlign w:val="superscript"/>
                <w:lang w:eastAsia="en-GB"/>
              </w:rPr>
              <w:t>nd</w:t>
            </w:r>
            <w:r>
              <w:rPr>
                <w:rFonts w:cs="Arial"/>
                <w:lang w:eastAsia="en-GB"/>
              </w:rPr>
              <w:t xml:space="preserve"> of March</w:t>
            </w:r>
            <w:r w:rsidR="005F4664">
              <w:rPr>
                <w:rFonts w:cs="Arial"/>
                <w:lang w:eastAsia="en-GB"/>
              </w:rPr>
              <w:t xml:space="preserve"> 2022, titled ‘</w:t>
            </w:r>
            <w:r w:rsidR="005F4664" w:rsidRPr="005F4664">
              <w:rPr>
                <w:rFonts w:cs="Arial"/>
                <w:lang w:eastAsia="en-GB"/>
              </w:rPr>
              <w:t>Marketing during COVID</w:t>
            </w:r>
            <w:r w:rsidR="005F4664">
              <w:rPr>
                <w:rFonts w:cs="Arial"/>
                <w:lang w:eastAsia="en-GB"/>
              </w:rPr>
              <w:t>’</w:t>
            </w:r>
            <w:r>
              <w:rPr>
                <w:rFonts w:cs="Arial"/>
                <w:lang w:eastAsia="en-GB"/>
              </w:rPr>
              <w:t xml:space="preserve">, </w:t>
            </w:r>
            <w:r w:rsidR="005F4664">
              <w:rPr>
                <w:rFonts w:cs="Arial"/>
                <w:lang w:eastAsia="en-GB"/>
              </w:rPr>
              <w:t xml:space="preserve">presenting a </w:t>
            </w:r>
            <w:r w:rsidR="005F4664" w:rsidRPr="005F4664">
              <w:rPr>
                <w:rFonts w:cs="Arial"/>
                <w:lang w:eastAsia="en-GB"/>
              </w:rPr>
              <w:t xml:space="preserve">real-life case study </w:t>
            </w:r>
            <w:r w:rsidR="005F4664">
              <w:rPr>
                <w:rFonts w:cs="Arial"/>
                <w:lang w:eastAsia="en-GB"/>
              </w:rPr>
              <w:t>combining</w:t>
            </w:r>
            <w:r w:rsidR="005F4664" w:rsidRPr="005F4664">
              <w:rPr>
                <w:rFonts w:cs="Arial"/>
                <w:lang w:eastAsia="en-GB"/>
              </w:rPr>
              <w:t xml:space="preserve"> </w:t>
            </w:r>
            <w:r w:rsidR="005F4664">
              <w:rPr>
                <w:rFonts w:cs="Arial"/>
                <w:lang w:eastAsia="en-GB"/>
              </w:rPr>
              <w:t xml:space="preserve">marketing principles and </w:t>
            </w:r>
            <w:r w:rsidR="005F4664" w:rsidRPr="005F4664">
              <w:rPr>
                <w:rFonts w:cs="Arial"/>
                <w:lang w:eastAsia="en-GB"/>
              </w:rPr>
              <w:t>marketing practices</w:t>
            </w:r>
            <w:r w:rsidR="005F4664">
              <w:rPr>
                <w:rFonts w:cs="Arial"/>
                <w:lang w:eastAsia="en-GB"/>
              </w:rPr>
              <w:t>;</w:t>
            </w:r>
          </w:p>
          <w:p w14:paraId="472CF7BC" w14:textId="09BD41D0" w:rsidR="008D3D2D" w:rsidRDefault="00665750" w:rsidP="008D3D2D">
            <w:pPr>
              <w:pStyle w:val="ListParagraph"/>
              <w:numPr>
                <w:ilvl w:val="0"/>
                <w:numId w:val="5"/>
              </w:numPr>
              <w:spacing w:line="252" w:lineRule="auto"/>
              <w:jc w:val="both"/>
              <w:rPr>
                <w:rFonts w:cs="Arial"/>
                <w:lang w:eastAsia="en-GB"/>
              </w:rPr>
            </w:pPr>
            <w:r>
              <w:rPr>
                <w:rFonts w:cs="Arial"/>
                <w:lang w:eastAsia="en-GB"/>
              </w:rPr>
              <w:t xml:space="preserve">Mr Angelos Louis, the Director of </w:t>
            </w:r>
            <w:proofErr w:type="spellStart"/>
            <w:r>
              <w:rPr>
                <w:rFonts w:cs="Arial"/>
                <w:lang w:eastAsia="en-GB"/>
              </w:rPr>
              <w:t>RedHR</w:t>
            </w:r>
            <w:proofErr w:type="spellEnd"/>
            <w:r>
              <w:rPr>
                <w:rFonts w:cs="Arial"/>
                <w:lang w:eastAsia="en-GB"/>
              </w:rPr>
              <w:t xml:space="preserve"> Solutions, </w:t>
            </w:r>
            <w:r w:rsidRPr="00665750">
              <w:rPr>
                <w:rFonts w:cs="Arial"/>
                <w:lang w:eastAsia="en-GB"/>
              </w:rPr>
              <w:t xml:space="preserve">has given </w:t>
            </w:r>
            <w:r>
              <w:rPr>
                <w:rFonts w:cs="Arial"/>
                <w:lang w:eastAsia="en-GB"/>
              </w:rPr>
              <w:t xml:space="preserve">a </w:t>
            </w:r>
            <w:r w:rsidRPr="00665750">
              <w:rPr>
                <w:rFonts w:cs="Arial"/>
                <w:lang w:eastAsia="en-GB"/>
              </w:rPr>
              <w:t>lecture</w:t>
            </w:r>
            <w:r>
              <w:rPr>
                <w:rFonts w:cs="Arial"/>
                <w:lang w:eastAsia="en-GB"/>
              </w:rPr>
              <w:t xml:space="preserve"> at the College premises, on the 6</w:t>
            </w:r>
            <w:r w:rsidRPr="00665750">
              <w:rPr>
                <w:rFonts w:cs="Arial"/>
                <w:vertAlign w:val="superscript"/>
                <w:lang w:eastAsia="en-GB"/>
              </w:rPr>
              <w:t>th</w:t>
            </w:r>
            <w:r>
              <w:rPr>
                <w:rFonts w:cs="Arial"/>
                <w:lang w:eastAsia="en-GB"/>
              </w:rPr>
              <w:t xml:space="preserve"> of May, 2022.</w:t>
            </w:r>
            <w:r w:rsidR="008D3D2D">
              <w:rPr>
                <w:rFonts w:cs="Arial"/>
                <w:lang w:eastAsia="en-GB"/>
              </w:rPr>
              <w:t xml:space="preserve"> </w:t>
            </w:r>
            <w:r w:rsidR="00A217A3">
              <w:rPr>
                <w:rFonts w:cs="Arial"/>
                <w:lang w:eastAsia="en-GB"/>
              </w:rPr>
              <w:t>Mr Louis presented the latest trends in the labour market and provided insight</w:t>
            </w:r>
            <w:r w:rsidR="005F4664">
              <w:rPr>
                <w:rFonts w:cs="Arial"/>
                <w:lang w:eastAsia="en-GB"/>
              </w:rPr>
              <w:t xml:space="preserve">s in regard </w:t>
            </w:r>
            <w:r w:rsidR="00A217A3">
              <w:rPr>
                <w:rFonts w:cs="Arial"/>
                <w:lang w:eastAsia="en-GB"/>
              </w:rPr>
              <w:t>to all s</w:t>
            </w:r>
            <w:r w:rsidR="005F4664">
              <w:rPr>
                <w:rFonts w:cs="Arial"/>
                <w:lang w:eastAsia="en-GB"/>
              </w:rPr>
              <w:t>teps of the recruitment process;</w:t>
            </w:r>
            <w:r w:rsidR="0070650D">
              <w:rPr>
                <w:rFonts w:cs="Arial"/>
                <w:lang w:eastAsia="en-GB"/>
              </w:rPr>
              <w:t xml:space="preserve"> and</w:t>
            </w:r>
          </w:p>
          <w:p w14:paraId="53698A63" w14:textId="3D1029C4" w:rsidR="00665750" w:rsidRPr="008D3D2D" w:rsidRDefault="008D3D2D" w:rsidP="008D3D2D">
            <w:pPr>
              <w:pStyle w:val="ListParagraph"/>
              <w:numPr>
                <w:ilvl w:val="0"/>
                <w:numId w:val="5"/>
              </w:numPr>
              <w:spacing w:line="252" w:lineRule="auto"/>
              <w:jc w:val="both"/>
              <w:rPr>
                <w:rFonts w:cs="Arial"/>
                <w:lang w:eastAsia="en-GB"/>
              </w:rPr>
            </w:pPr>
            <w:r>
              <w:rPr>
                <w:rFonts w:cs="Arial"/>
                <w:lang w:eastAsia="en-GB"/>
              </w:rPr>
              <w:t xml:space="preserve">Mr Panayiotis </w:t>
            </w:r>
            <w:proofErr w:type="spellStart"/>
            <w:r>
              <w:rPr>
                <w:rFonts w:cs="Arial"/>
                <w:lang w:eastAsia="en-GB"/>
              </w:rPr>
              <w:t>Xenofontos</w:t>
            </w:r>
            <w:proofErr w:type="spellEnd"/>
            <w:r>
              <w:rPr>
                <w:rFonts w:cs="Arial"/>
                <w:lang w:eastAsia="en-GB"/>
              </w:rPr>
              <w:t xml:space="preserve">, the Technical Manager of </w:t>
            </w:r>
            <w:proofErr w:type="spellStart"/>
            <w:r>
              <w:rPr>
                <w:rFonts w:cs="Arial"/>
                <w:lang w:eastAsia="en-GB"/>
              </w:rPr>
              <w:t>AceNetworks</w:t>
            </w:r>
            <w:proofErr w:type="spellEnd"/>
            <w:r>
              <w:rPr>
                <w:rFonts w:cs="Arial"/>
                <w:lang w:eastAsia="en-GB"/>
              </w:rPr>
              <w:t>, has given a seminar at the College premises, on the 18</w:t>
            </w:r>
            <w:r w:rsidRPr="00665750">
              <w:rPr>
                <w:rFonts w:cs="Arial"/>
                <w:vertAlign w:val="superscript"/>
                <w:lang w:eastAsia="en-GB"/>
              </w:rPr>
              <w:t>th</w:t>
            </w:r>
            <w:r>
              <w:rPr>
                <w:rFonts w:cs="Arial"/>
                <w:lang w:eastAsia="en-GB"/>
              </w:rPr>
              <w:t xml:space="preserve"> of May, 2022. </w:t>
            </w:r>
            <w:r w:rsidRPr="008D3D2D">
              <w:rPr>
                <w:rFonts w:cs="Arial"/>
                <w:lang w:eastAsia="en-GB"/>
              </w:rPr>
              <w:t>The seminar was about promoting Cyber Security among participants and to changing participants’ perception in regards to cyber-threats. During the seminar participants were provided with up to date security information and examples of good practices in the area of Cyber Security</w:t>
            </w:r>
            <w:r>
              <w:rPr>
                <w:rFonts w:cs="Arial"/>
                <w:lang w:eastAsia="en-GB"/>
              </w:rPr>
              <w:t>.</w:t>
            </w:r>
          </w:p>
        </w:tc>
      </w:tr>
      <w:tr w:rsidR="00DC21FC" w:rsidRPr="001F6DE3" w14:paraId="3BE00AD3" w14:textId="77777777" w:rsidTr="00AA4E59">
        <w:tc>
          <w:tcPr>
            <w:tcW w:w="562" w:type="dxa"/>
            <w:vAlign w:val="center"/>
          </w:tcPr>
          <w:p w14:paraId="6069AE0E"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51473609" w14:textId="64829170" w:rsidR="00DC21FC" w:rsidRPr="00C412F6" w:rsidRDefault="00DC21FC" w:rsidP="00DC21FC">
            <w:pPr>
              <w:jc w:val="both"/>
            </w:pPr>
            <w:r w:rsidRPr="00C412F6">
              <w:t xml:space="preserve">The point about students’ activities in class </w:t>
            </w:r>
            <w:r w:rsidRPr="00D32CF0">
              <w:rPr>
                <w:b/>
              </w:rPr>
              <w:t>has been partially satisfied</w:t>
            </w:r>
            <w:r w:rsidRPr="00C412F6">
              <w:t>, as personalized learning experience should create a specific experience based on personal traits.</w:t>
            </w:r>
          </w:p>
        </w:tc>
        <w:tc>
          <w:tcPr>
            <w:tcW w:w="6734" w:type="dxa"/>
            <w:vAlign w:val="center"/>
          </w:tcPr>
          <w:p w14:paraId="4A16D7FA" w14:textId="3BF7462F" w:rsidR="00DC21FC" w:rsidRPr="00AD441F" w:rsidRDefault="0006491B" w:rsidP="002D25B4">
            <w:pPr>
              <w:spacing w:line="252" w:lineRule="auto"/>
              <w:jc w:val="both"/>
              <w:rPr>
                <w:rFonts w:cs="Arial"/>
                <w:lang w:eastAsia="en-GB"/>
              </w:rPr>
            </w:pPr>
            <w:r w:rsidRPr="00AD441F">
              <w:rPr>
                <w:rFonts w:cs="Arial"/>
                <w:lang w:eastAsia="en-GB"/>
              </w:rPr>
              <w:t>In addition to the blend of contemporary and innovating methods</w:t>
            </w:r>
            <w:r w:rsidR="00AD441F" w:rsidRPr="00AD441F">
              <w:rPr>
                <w:rFonts w:cs="Arial"/>
                <w:lang w:eastAsia="en-GB"/>
              </w:rPr>
              <w:t xml:space="preserve"> </w:t>
            </w:r>
            <w:r w:rsidRPr="00AD441F">
              <w:rPr>
                <w:rFonts w:cs="Arial"/>
                <w:lang w:eastAsia="en-GB"/>
              </w:rPr>
              <w:t xml:space="preserve"> </w:t>
            </w:r>
            <w:r w:rsidR="00AD441F" w:rsidRPr="00AD441F">
              <w:rPr>
                <w:rFonts w:cs="Arial"/>
                <w:lang w:eastAsia="en-GB"/>
              </w:rPr>
              <w:t>explained</w:t>
            </w:r>
            <w:r w:rsidRPr="00AD441F">
              <w:rPr>
                <w:rFonts w:cs="Arial"/>
                <w:lang w:eastAsia="en-GB"/>
              </w:rPr>
              <w:t xml:space="preserve"> in our </w:t>
            </w:r>
            <w:r w:rsidR="008A2A89" w:rsidRPr="00AD441F">
              <w:rPr>
                <w:rFonts w:cs="Arial"/>
                <w:lang w:eastAsia="en-GB"/>
              </w:rPr>
              <w:t xml:space="preserve">Response report of 11/3/2022 </w:t>
            </w:r>
            <w:r w:rsidRPr="00AD441F">
              <w:rPr>
                <w:rFonts w:cs="Arial"/>
                <w:lang w:eastAsia="en-GB"/>
              </w:rPr>
              <w:t xml:space="preserve">(Section 2, pages 9 and 11), </w:t>
            </w:r>
            <w:r w:rsidR="00AD441F" w:rsidRPr="00AD441F">
              <w:rPr>
                <w:rFonts w:cs="Arial"/>
                <w:lang w:eastAsia="en-GB"/>
              </w:rPr>
              <w:t>based on your recommendation the following students’ in class activities and</w:t>
            </w:r>
            <w:r w:rsidR="002D25B4" w:rsidRPr="00AD441F">
              <w:rPr>
                <w:rFonts w:cs="Arial"/>
                <w:lang w:eastAsia="en-GB"/>
              </w:rPr>
              <w:t xml:space="preserve"> </w:t>
            </w:r>
            <w:r w:rsidR="00FA4055" w:rsidRPr="00AD441F">
              <w:rPr>
                <w:rFonts w:cs="Arial"/>
                <w:lang w:eastAsia="en-GB"/>
              </w:rPr>
              <w:t>practices</w:t>
            </w:r>
            <w:r w:rsidR="002D25B4" w:rsidRPr="00AD441F">
              <w:rPr>
                <w:rFonts w:cs="Arial"/>
                <w:lang w:eastAsia="en-GB"/>
              </w:rPr>
              <w:t xml:space="preserve"> </w:t>
            </w:r>
            <w:r w:rsidR="00AD441F" w:rsidRPr="00AD441F">
              <w:rPr>
                <w:rFonts w:cs="Arial"/>
                <w:lang w:eastAsia="en-GB"/>
              </w:rPr>
              <w:t>agreed with our teaching personnel to be applied so</w:t>
            </w:r>
            <w:r w:rsidR="002D25B4" w:rsidRPr="00AD441F">
              <w:rPr>
                <w:rFonts w:cs="Arial"/>
                <w:lang w:eastAsia="en-GB"/>
              </w:rPr>
              <w:t xml:space="preserve"> </w:t>
            </w:r>
            <w:r w:rsidR="000C582A" w:rsidRPr="00AD441F">
              <w:rPr>
                <w:rFonts w:cs="Arial"/>
                <w:lang w:eastAsia="en-GB"/>
              </w:rPr>
              <w:t>to provide a more personalised learning experience to students</w:t>
            </w:r>
            <w:r w:rsidR="002D25B4" w:rsidRPr="00AD441F">
              <w:rPr>
                <w:rFonts w:cs="Arial"/>
                <w:lang w:eastAsia="en-GB"/>
              </w:rPr>
              <w:t xml:space="preserve"> </w:t>
            </w:r>
            <w:r w:rsidR="00AD441F" w:rsidRPr="00AD441F">
              <w:rPr>
                <w:rFonts w:cs="Arial"/>
                <w:lang w:eastAsia="en-GB"/>
              </w:rPr>
              <w:t>in class:</w:t>
            </w:r>
          </w:p>
          <w:p w14:paraId="4BFDDB9F" w14:textId="77777777" w:rsidR="00AD441F" w:rsidRPr="00AD441F" w:rsidRDefault="00AD441F" w:rsidP="002D25B4">
            <w:pPr>
              <w:spacing w:line="252" w:lineRule="auto"/>
              <w:jc w:val="both"/>
              <w:rPr>
                <w:rFonts w:cs="Arial"/>
                <w:lang w:eastAsia="en-GB"/>
              </w:rPr>
            </w:pPr>
          </w:p>
          <w:p w14:paraId="3935F74A" w14:textId="711E9A14" w:rsidR="006E03F4" w:rsidRPr="00AD441F" w:rsidRDefault="006E03F4" w:rsidP="006E03F4">
            <w:pPr>
              <w:pStyle w:val="ListParagraph"/>
              <w:numPr>
                <w:ilvl w:val="0"/>
                <w:numId w:val="12"/>
              </w:numPr>
              <w:ind w:left="360"/>
              <w:jc w:val="both"/>
            </w:pPr>
            <w:r w:rsidRPr="00AD441F">
              <w:lastRenderedPageBreak/>
              <w:t>develop pre-tests so to find out the levels of students or the knowledge they possess on various topics;</w:t>
            </w:r>
          </w:p>
          <w:p w14:paraId="665CA43A" w14:textId="28B69614" w:rsidR="006E03F4" w:rsidRPr="00AD441F" w:rsidRDefault="006E03F4" w:rsidP="006E03F4">
            <w:pPr>
              <w:pStyle w:val="ListParagraph"/>
              <w:numPr>
                <w:ilvl w:val="0"/>
                <w:numId w:val="12"/>
              </w:numPr>
              <w:ind w:left="360"/>
              <w:jc w:val="both"/>
            </w:pPr>
            <w:r w:rsidRPr="00AD441F">
              <w:t xml:space="preserve">encourage students to be active learners on their own pace and search for online material related to the course and based on their interests through the College’s online library and ask to report on their findings; </w:t>
            </w:r>
          </w:p>
          <w:p w14:paraId="0B1536D1" w14:textId="589CC73B" w:rsidR="006E03F4" w:rsidRPr="00AD441F" w:rsidRDefault="006E03F4" w:rsidP="006E03F4">
            <w:pPr>
              <w:pStyle w:val="ListParagraph"/>
              <w:numPr>
                <w:ilvl w:val="0"/>
                <w:numId w:val="12"/>
              </w:numPr>
              <w:ind w:left="360"/>
              <w:jc w:val="both"/>
            </w:pPr>
            <w:r w:rsidRPr="00AD441F">
              <w:t xml:space="preserve">urge students to meet instructors during office hours or via emails for questions and feedback if they feel more comfortable than doing it during lectures; </w:t>
            </w:r>
          </w:p>
          <w:p w14:paraId="47E49910" w14:textId="4BEE363A" w:rsidR="006E03F4" w:rsidRPr="00AD441F" w:rsidRDefault="006E03F4" w:rsidP="006E03F4">
            <w:pPr>
              <w:pStyle w:val="ListParagraph"/>
              <w:numPr>
                <w:ilvl w:val="0"/>
                <w:numId w:val="12"/>
              </w:numPr>
              <w:ind w:left="360"/>
              <w:jc w:val="both"/>
            </w:pPr>
            <w:r w:rsidRPr="00AD441F">
              <w:t>provide the learning material in multiple forms, such as in Handouts, videos, PowerPoint presentations, Moodle activities, and others;</w:t>
            </w:r>
          </w:p>
          <w:p w14:paraId="27D0C9F0" w14:textId="578755BD" w:rsidR="006E03F4" w:rsidRPr="00AD441F" w:rsidRDefault="006E03F4" w:rsidP="006E03F4">
            <w:pPr>
              <w:pStyle w:val="ListParagraph"/>
              <w:numPr>
                <w:ilvl w:val="0"/>
                <w:numId w:val="12"/>
              </w:numPr>
              <w:ind w:left="360"/>
              <w:jc w:val="both"/>
            </w:pPr>
            <w:r w:rsidRPr="00AD441F">
              <w:t xml:space="preserve">adjust seating and class layout when possible to support different learning styles; </w:t>
            </w:r>
          </w:p>
          <w:p w14:paraId="0FDFCED6" w14:textId="3CB81688" w:rsidR="006E03F4" w:rsidRPr="00AD441F" w:rsidRDefault="006E03F4" w:rsidP="006E03F4">
            <w:pPr>
              <w:pStyle w:val="ListParagraph"/>
              <w:numPr>
                <w:ilvl w:val="0"/>
                <w:numId w:val="12"/>
              </w:numPr>
              <w:ind w:left="360"/>
              <w:jc w:val="both"/>
            </w:pPr>
            <w:r w:rsidRPr="00AD441F">
              <w:t xml:space="preserve">develop both group and individual activities; </w:t>
            </w:r>
          </w:p>
          <w:p w14:paraId="180EA8A2" w14:textId="2D3E538E" w:rsidR="006E03F4" w:rsidRPr="00AD441F" w:rsidRDefault="006E03F4" w:rsidP="006E03F4">
            <w:pPr>
              <w:pStyle w:val="ListParagraph"/>
              <w:numPr>
                <w:ilvl w:val="0"/>
                <w:numId w:val="12"/>
              </w:numPr>
              <w:ind w:left="360"/>
              <w:jc w:val="both"/>
            </w:pPr>
            <w:r w:rsidRPr="00AD441F">
              <w:t xml:space="preserve">look for common student interests and traits as to develop activities that fit to these individual characteristics; </w:t>
            </w:r>
            <w:r w:rsidR="009E0C25" w:rsidRPr="00AD441F">
              <w:t>and</w:t>
            </w:r>
          </w:p>
          <w:p w14:paraId="33F0E723" w14:textId="7E28798C" w:rsidR="002D25B4" w:rsidRPr="00AD441F" w:rsidRDefault="006E03F4" w:rsidP="006E03F4">
            <w:pPr>
              <w:pStyle w:val="ListParagraph"/>
              <w:numPr>
                <w:ilvl w:val="0"/>
                <w:numId w:val="12"/>
              </w:numPr>
              <w:spacing w:line="252" w:lineRule="auto"/>
              <w:ind w:left="360"/>
              <w:jc w:val="both"/>
              <w:rPr>
                <w:rFonts w:cs="Arial"/>
                <w:lang w:eastAsia="en-GB"/>
              </w:rPr>
            </w:pPr>
            <w:r w:rsidRPr="00AD441F">
              <w:t>provide frequent and constructive feedback.</w:t>
            </w:r>
          </w:p>
        </w:tc>
      </w:tr>
      <w:tr w:rsidR="00DC21FC" w:rsidRPr="001F6DE3" w14:paraId="5BB8AEF5" w14:textId="77777777" w:rsidTr="00D32CF0">
        <w:tc>
          <w:tcPr>
            <w:tcW w:w="14029" w:type="dxa"/>
            <w:gridSpan w:val="3"/>
            <w:shd w:val="clear" w:color="auto" w:fill="FFF2CC" w:themeFill="accent4" w:themeFillTint="33"/>
            <w:vAlign w:val="center"/>
          </w:tcPr>
          <w:p w14:paraId="3654511E" w14:textId="0B31EB62" w:rsidR="00DC21FC" w:rsidRPr="001F6DE3" w:rsidRDefault="00DC21FC" w:rsidP="00DC21FC">
            <w:pPr>
              <w:spacing w:line="252" w:lineRule="auto"/>
              <w:jc w:val="both"/>
              <w:rPr>
                <w:rFonts w:cs="Arial"/>
                <w:lang w:eastAsia="en-GB"/>
              </w:rPr>
            </w:pPr>
            <w:r w:rsidRPr="00C412F6">
              <w:rPr>
                <w:rFonts w:cs="Arial"/>
                <w:lang w:eastAsia="en-GB"/>
              </w:rPr>
              <w:lastRenderedPageBreak/>
              <w:t>(on EEC recommendations)</w:t>
            </w:r>
          </w:p>
        </w:tc>
      </w:tr>
      <w:tr w:rsidR="00DC21FC" w:rsidRPr="001F6DE3" w14:paraId="21C0D7C6" w14:textId="77777777" w:rsidTr="00AA4E59">
        <w:tc>
          <w:tcPr>
            <w:tcW w:w="562" w:type="dxa"/>
            <w:vAlign w:val="center"/>
          </w:tcPr>
          <w:p w14:paraId="7A160B16"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3AB4335E" w14:textId="0C85DEEA" w:rsidR="00DC21FC" w:rsidRPr="00C412F6" w:rsidRDefault="00DC21FC" w:rsidP="00DC21FC">
            <w:pPr>
              <w:jc w:val="both"/>
            </w:pPr>
            <w:r w:rsidRPr="00C412F6">
              <w:t xml:space="preserve">The recommendation about the scarcity of expert instructors in Computer Science </w:t>
            </w:r>
            <w:r w:rsidRPr="00C412F6">
              <w:rPr>
                <w:b/>
              </w:rPr>
              <w:t>has been partially satisfied</w:t>
            </w:r>
            <w:r w:rsidRPr="00C412F6">
              <w:t>, as a new expert instructor has been recruited, but adding at least another would be very useful (aiming at reaching a majority of instructors with degrees in CS).</w:t>
            </w:r>
          </w:p>
        </w:tc>
        <w:tc>
          <w:tcPr>
            <w:tcW w:w="6734" w:type="dxa"/>
            <w:vAlign w:val="center"/>
          </w:tcPr>
          <w:p w14:paraId="2E23780A" w14:textId="7FA233A4" w:rsidR="00DC21FC" w:rsidRPr="001F6DE3" w:rsidRDefault="00DC21FC" w:rsidP="000F35A8">
            <w:pPr>
              <w:spacing w:line="252" w:lineRule="auto"/>
              <w:jc w:val="both"/>
              <w:rPr>
                <w:rFonts w:cs="Arial"/>
                <w:lang w:eastAsia="en-GB"/>
              </w:rPr>
            </w:pPr>
            <w:r>
              <w:rPr>
                <w:rFonts w:cs="Arial"/>
                <w:lang w:eastAsia="en-GB"/>
              </w:rPr>
              <w:t xml:space="preserve">Based on your recommendation for adding at least another expert instructor </w:t>
            </w:r>
            <w:r w:rsidRPr="00676E84">
              <w:rPr>
                <w:rFonts w:cs="Arial"/>
                <w:lang w:eastAsia="en-GB"/>
              </w:rPr>
              <w:t>we have agreed to employ</w:t>
            </w:r>
            <w:r>
              <w:rPr>
                <w:rFonts w:cs="Arial"/>
                <w:lang w:eastAsia="en-GB"/>
              </w:rPr>
              <w:t xml:space="preserve"> Mr Michael Savva</w:t>
            </w:r>
            <w:r w:rsidRPr="00676E84">
              <w:rPr>
                <w:rFonts w:cs="Arial"/>
                <w:lang w:eastAsia="en-GB"/>
              </w:rPr>
              <w:t xml:space="preserve"> (</w:t>
            </w:r>
            <w:r w:rsidRPr="000F35A8">
              <w:rPr>
                <w:rFonts w:cs="Arial"/>
                <w:b/>
                <w:color w:val="000000" w:themeColor="text1"/>
                <w:lang w:eastAsia="en-GB"/>
              </w:rPr>
              <w:t xml:space="preserve">Annex </w:t>
            </w:r>
            <w:r w:rsidR="000F35A8" w:rsidRPr="000F35A8">
              <w:rPr>
                <w:rFonts w:cs="Arial"/>
                <w:b/>
                <w:color w:val="000000" w:themeColor="text1"/>
                <w:lang w:eastAsia="en-GB"/>
              </w:rPr>
              <w:t>8</w:t>
            </w:r>
            <w:r w:rsidRPr="00676E84">
              <w:rPr>
                <w:rFonts w:cs="Arial"/>
                <w:color w:val="FF0000"/>
                <w:lang w:eastAsia="en-GB"/>
              </w:rPr>
              <w:t xml:space="preserve"> </w:t>
            </w:r>
            <w:r w:rsidRPr="00676E84">
              <w:rPr>
                <w:rFonts w:cs="Arial"/>
                <w:lang w:eastAsia="en-GB"/>
              </w:rPr>
              <w:t>– Pre-employment Agreement), to strengthen our Computer Science Department.</w:t>
            </w:r>
            <w:r>
              <w:rPr>
                <w:rFonts w:cs="Arial"/>
                <w:lang w:eastAsia="en-GB"/>
              </w:rPr>
              <w:t xml:space="preserve"> Mr Savva holds a </w:t>
            </w:r>
            <w:r w:rsidRPr="00676E84">
              <w:rPr>
                <w:rFonts w:cs="Arial"/>
                <w:lang w:eastAsia="en-GB"/>
              </w:rPr>
              <w:t>BSc in Business Planning and Information Systems</w:t>
            </w:r>
            <w:r>
              <w:t xml:space="preserve"> (</w:t>
            </w:r>
            <w:r w:rsidRPr="00676E84">
              <w:rPr>
                <w:rFonts w:cs="Arial"/>
                <w:lang w:eastAsia="en-GB"/>
              </w:rPr>
              <w:t>Technologica</w:t>
            </w:r>
            <w:r>
              <w:rPr>
                <w:rFonts w:cs="Arial"/>
                <w:lang w:eastAsia="en-GB"/>
              </w:rPr>
              <w:t xml:space="preserve">l Educational Institute, </w:t>
            </w:r>
            <w:proofErr w:type="spellStart"/>
            <w:r>
              <w:rPr>
                <w:rFonts w:cs="Arial"/>
                <w:lang w:eastAsia="en-GB"/>
              </w:rPr>
              <w:t>Patra</w:t>
            </w:r>
            <w:proofErr w:type="spellEnd"/>
            <w:r>
              <w:rPr>
                <w:rFonts w:cs="Arial"/>
                <w:lang w:eastAsia="en-GB"/>
              </w:rPr>
              <w:t xml:space="preserve"> - </w:t>
            </w:r>
            <w:r w:rsidRPr="00676E84">
              <w:rPr>
                <w:rFonts w:cs="Arial"/>
                <w:lang w:eastAsia="en-GB"/>
              </w:rPr>
              <w:t>Greece)</w:t>
            </w:r>
            <w:r>
              <w:rPr>
                <w:rFonts w:cs="Arial"/>
                <w:lang w:eastAsia="en-GB"/>
              </w:rPr>
              <w:t xml:space="preserve">, an </w:t>
            </w:r>
            <w:r w:rsidRPr="00676E84">
              <w:rPr>
                <w:rFonts w:cs="Arial"/>
                <w:lang w:eastAsia="en-GB"/>
              </w:rPr>
              <w:t>MSc in Information and Communication Systems Security</w:t>
            </w:r>
            <w:r>
              <w:rPr>
                <w:rFonts w:cs="Arial"/>
                <w:lang w:eastAsia="en-GB"/>
              </w:rPr>
              <w:t xml:space="preserve"> (</w:t>
            </w:r>
            <w:r w:rsidRPr="00927122">
              <w:rPr>
                <w:rFonts w:cs="Arial"/>
                <w:lang w:eastAsia="en-GB"/>
              </w:rPr>
              <w:t>Open University of Cyprus</w:t>
            </w:r>
            <w:r>
              <w:rPr>
                <w:rFonts w:cs="Arial"/>
                <w:lang w:eastAsia="en-GB"/>
              </w:rPr>
              <w:t xml:space="preserve">) and an </w:t>
            </w:r>
            <w:r w:rsidRPr="00676E84">
              <w:rPr>
                <w:rFonts w:cs="Arial"/>
                <w:lang w:eastAsia="en-GB"/>
              </w:rPr>
              <w:t>MSc in Wireless Communication Systems</w:t>
            </w:r>
            <w:r>
              <w:rPr>
                <w:rFonts w:cs="Arial"/>
                <w:lang w:eastAsia="en-GB"/>
              </w:rPr>
              <w:t xml:space="preserve"> (</w:t>
            </w:r>
            <w:r w:rsidRPr="00927122">
              <w:rPr>
                <w:rFonts w:cs="Arial"/>
                <w:lang w:eastAsia="en-GB"/>
              </w:rPr>
              <w:t>Open University of Cyprus</w:t>
            </w:r>
            <w:r>
              <w:rPr>
                <w:rFonts w:cs="Arial"/>
                <w:lang w:eastAsia="en-GB"/>
              </w:rPr>
              <w:t xml:space="preserve">). In addition, Mr Savva is at the final stage of completing a </w:t>
            </w:r>
            <w:r w:rsidRPr="00676E84">
              <w:rPr>
                <w:rFonts w:cs="Arial"/>
                <w:lang w:eastAsia="en-GB"/>
              </w:rPr>
              <w:t>PhD in Security in the Internet of Things</w:t>
            </w:r>
            <w:r>
              <w:rPr>
                <w:rFonts w:cs="Arial"/>
                <w:lang w:eastAsia="en-GB"/>
              </w:rPr>
              <w:t xml:space="preserve"> (</w:t>
            </w:r>
            <w:r w:rsidRPr="00927122">
              <w:rPr>
                <w:rFonts w:cs="Arial"/>
                <w:lang w:eastAsia="en-GB"/>
              </w:rPr>
              <w:t>University of Cyprus</w:t>
            </w:r>
            <w:r>
              <w:rPr>
                <w:rFonts w:cs="Arial"/>
                <w:lang w:eastAsia="en-GB"/>
              </w:rPr>
              <w:t xml:space="preserve">). He specializes </w:t>
            </w:r>
            <w:r>
              <w:rPr>
                <w:rFonts w:cs="Arial"/>
                <w:lang w:eastAsia="en-GB"/>
              </w:rPr>
              <w:lastRenderedPageBreak/>
              <w:t>in Data Communications, Computer Networks, Network Security and Internet of Things.</w:t>
            </w:r>
          </w:p>
        </w:tc>
      </w:tr>
      <w:tr w:rsidR="00DC21FC" w:rsidRPr="001F6DE3" w14:paraId="3407888E" w14:textId="77777777" w:rsidTr="00AA4E59">
        <w:tc>
          <w:tcPr>
            <w:tcW w:w="562" w:type="dxa"/>
            <w:vAlign w:val="center"/>
          </w:tcPr>
          <w:p w14:paraId="0FAFDD4F"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68C9D86B" w14:textId="300BC1EC" w:rsidR="00DC21FC" w:rsidRPr="00C412F6" w:rsidRDefault="00DC21FC" w:rsidP="00DC21FC">
            <w:pPr>
              <w:jc w:val="both"/>
            </w:pPr>
            <w:r w:rsidRPr="00C412F6">
              <w:t xml:space="preserve">The recommendation about team-based projects has been recorded but </w:t>
            </w:r>
            <w:r w:rsidRPr="00C412F6">
              <w:rPr>
                <w:b/>
              </w:rPr>
              <w:t>not yet satisfied.</w:t>
            </w:r>
          </w:p>
        </w:tc>
        <w:tc>
          <w:tcPr>
            <w:tcW w:w="6734" w:type="dxa"/>
            <w:vAlign w:val="center"/>
          </w:tcPr>
          <w:p w14:paraId="22806DF8" w14:textId="426B7DC3" w:rsidR="004A4F89" w:rsidRPr="001F6DE3" w:rsidRDefault="007B616F" w:rsidP="000F35A8">
            <w:pPr>
              <w:spacing w:line="252" w:lineRule="auto"/>
              <w:jc w:val="both"/>
              <w:rPr>
                <w:rFonts w:cs="Arial"/>
                <w:lang w:eastAsia="en-GB"/>
              </w:rPr>
            </w:pPr>
            <w:r>
              <w:rPr>
                <w:rFonts w:cs="Arial"/>
                <w:lang w:eastAsia="en-GB"/>
              </w:rPr>
              <w:t xml:space="preserve">In </w:t>
            </w:r>
            <w:r w:rsidRPr="000F35A8">
              <w:rPr>
                <w:rFonts w:cs="Arial"/>
                <w:b/>
                <w:lang w:eastAsia="en-GB"/>
              </w:rPr>
              <w:t xml:space="preserve">Annex </w:t>
            </w:r>
            <w:r w:rsidR="000F35A8" w:rsidRPr="000F35A8">
              <w:rPr>
                <w:rFonts w:cs="Arial"/>
                <w:b/>
                <w:lang w:eastAsia="en-GB"/>
              </w:rPr>
              <w:t>9</w:t>
            </w:r>
            <w:r>
              <w:rPr>
                <w:rFonts w:cs="Arial"/>
                <w:lang w:eastAsia="en-GB"/>
              </w:rPr>
              <w:t xml:space="preserve"> you can find examples of team-based projects assigned to students d</w:t>
            </w:r>
            <w:r w:rsidR="004A4F89">
              <w:rPr>
                <w:rFonts w:cs="Arial"/>
                <w:lang w:eastAsia="en-GB"/>
              </w:rPr>
              <w:t xml:space="preserve">uring </w:t>
            </w:r>
            <w:r>
              <w:rPr>
                <w:rFonts w:cs="Arial"/>
                <w:lang w:eastAsia="en-GB"/>
              </w:rPr>
              <w:t>Spring 2022.</w:t>
            </w:r>
          </w:p>
        </w:tc>
      </w:tr>
      <w:tr w:rsidR="00DC21FC" w:rsidRPr="001F6DE3" w14:paraId="1FB10E26" w14:textId="77777777" w:rsidTr="00AA4E59">
        <w:tc>
          <w:tcPr>
            <w:tcW w:w="562" w:type="dxa"/>
            <w:vAlign w:val="center"/>
          </w:tcPr>
          <w:p w14:paraId="6E24D92C"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16AC65D9" w14:textId="2E1D2527" w:rsidR="00DC21FC" w:rsidRPr="00C412F6" w:rsidRDefault="00DC21FC" w:rsidP="00DC21FC">
            <w:pPr>
              <w:jc w:val="both"/>
            </w:pPr>
            <w:r w:rsidRPr="00C412F6">
              <w:t xml:space="preserve">The recommendation about introducing best practices from other well reputed schools has been recorded </w:t>
            </w:r>
            <w:r w:rsidRPr="00C412F6">
              <w:rPr>
                <w:b/>
              </w:rPr>
              <w:t>but not yet satisfied</w:t>
            </w:r>
            <w:r w:rsidRPr="00C412F6">
              <w:t>.</w:t>
            </w:r>
          </w:p>
        </w:tc>
        <w:tc>
          <w:tcPr>
            <w:tcW w:w="6734" w:type="dxa"/>
            <w:vAlign w:val="center"/>
          </w:tcPr>
          <w:p w14:paraId="104EE9A8" w14:textId="01971017" w:rsidR="00DC21FC" w:rsidRPr="00E51384" w:rsidRDefault="004A4D7A" w:rsidP="00DC21FC">
            <w:pPr>
              <w:spacing w:line="252" w:lineRule="auto"/>
              <w:jc w:val="both"/>
              <w:rPr>
                <w:rFonts w:cs="Arial"/>
                <w:color w:val="000000" w:themeColor="text1"/>
                <w:lang w:eastAsia="en-GB"/>
              </w:rPr>
            </w:pPr>
            <w:r w:rsidRPr="00E51384">
              <w:rPr>
                <w:rFonts w:cs="Arial"/>
                <w:color w:val="000000" w:themeColor="text1"/>
                <w:lang w:eastAsia="en-GB"/>
              </w:rPr>
              <w:t xml:space="preserve">The Director of Academic Affairs with the Department Heads and Program Coordinators look for best practices in a variety of areas such as quality management, teaching methods, student support, student assessment, faculty training and development, faculty assessment, organizational structure, and various policies (equality, student feedback, etc). </w:t>
            </w:r>
            <w:r w:rsidR="00E96CAB" w:rsidRPr="00E51384">
              <w:rPr>
                <w:rFonts w:cs="Arial"/>
                <w:color w:val="000000" w:themeColor="text1"/>
                <w:lang w:eastAsia="en-GB"/>
              </w:rPr>
              <w:t>The</w:t>
            </w:r>
            <w:r w:rsidR="00592577">
              <w:rPr>
                <w:rFonts w:cs="Arial"/>
                <w:color w:val="000000" w:themeColor="text1"/>
                <w:lang w:eastAsia="en-GB"/>
              </w:rPr>
              <w:t xml:space="preserve"> above faculty members look for best practices applied by</w:t>
            </w:r>
            <w:r w:rsidRPr="00E51384">
              <w:rPr>
                <w:rFonts w:cs="Arial"/>
                <w:color w:val="000000" w:themeColor="text1"/>
                <w:lang w:eastAsia="en-GB"/>
              </w:rPr>
              <w:t>:</w:t>
            </w:r>
          </w:p>
          <w:p w14:paraId="026B4116" w14:textId="77777777" w:rsidR="00AD441F" w:rsidRPr="00E51384" w:rsidRDefault="00AD441F" w:rsidP="00DC21FC">
            <w:pPr>
              <w:spacing w:line="252" w:lineRule="auto"/>
              <w:jc w:val="both"/>
              <w:rPr>
                <w:rFonts w:cs="Arial"/>
                <w:color w:val="000000" w:themeColor="text1"/>
                <w:lang w:eastAsia="en-GB"/>
              </w:rPr>
            </w:pPr>
          </w:p>
          <w:p w14:paraId="1182D58E" w14:textId="7D280EC9" w:rsidR="004A4D7A" w:rsidRPr="00E51384" w:rsidRDefault="004A4D7A" w:rsidP="004A4D7A">
            <w:pPr>
              <w:pStyle w:val="ListParagraph"/>
              <w:numPr>
                <w:ilvl w:val="0"/>
                <w:numId w:val="4"/>
              </w:numPr>
              <w:spacing w:line="252" w:lineRule="auto"/>
              <w:jc w:val="both"/>
              <w:rPr>
                <w:rFonts w:cs="Arial"/>
                <w:color w:val="000000" w:themeColor="text1"/>
                <w:lang w:eastAsia="en-GB"/>
              </w:rPr>
            </w:pPr>
            <w:r w:rsidRPr="00E51384">
              <w:rPr>
                <w:rFonts w:cs="Arial"/>
                <w:color w:val="000000" w:themeColor="text1"/>
                <w:lang w:eastAsia="en-GB"/>
              </w:rPr>
              <w:t>higher education ins</w:t>
            </w:r>
            <w:r w:rsidR="009E0C25" w:rsidRPr="00E51384">
              <w:rPr>
                <w:rFonts w:cs="Arial"/>
                <w:color w:val="000000" w:themeColor="text1"/>
                <w:lang w:eastAsia="en-GB"/>
              </w:rPr>
              <w:t>titutions in Cyprus</w:t>
            </w:r>
            <w:r w:rsidR="00E96CAB" w:rsidRPr="00E51384">
              <w:rPr>
                <w:rFonts w:cs="Arial"/>
                <w:color w:val="000000" w:themeColor="text1"/>
                <w:lang w:eastAsia="en-GB"/>
              </w:rPr>
              <w:t>, such as the University of Cyprus and the Cyprus University of Technology</w:t>
            </w:r>
            <w:r w:rsidR="009E0C25" w:rsidRPr="00E51384">
              <w:rPr>
                <w:rFonts w:cs="Arial"/>
                <w:color w:val="000000" w:themeColor="text1"/>
                <w:lang w:eastAsia="en-GB"/>
              </w:rPr>
              <w:t>;</w:t>
            </w:r>
            <w:r w:rsidR="00E96CAB" w:rsidRPr="00E51384">
              <w:rPr>
                <w:rFonts w:cs="Arial"/>
                <w:color w:val="000000" w:themeColor="text1"/>
                <w:lang w:eastAsia="en-GB"/>
              </w:rPr>
              <w:t xml:space="preserve"> and</w:t>
            </w:r>
          </w:p>
          <w:p w14:paraId="55CF9585" w14:textId="0CA2ED27" w:rsidR="00E96CAB" w:rsidRPr="00E51384" w:rsidRDefault="00E96CAB" w:rsidP="00E96CAB">
            <w:pPr>
              <w:pStyle w:val="ListParagraph"/>
              <w:numPr>
                <w:ilvl w:val="0"/>
                <w:numId w:val="4"/>
              </w:numPr>
              <w:spacing w:line="252" w:lineRule="auto"/>
              <w:jc w:val="both"/>
              <w:rPr>
                <w:rFonts w:cs="Arial"/>
                <w:color w:val="000000" w:themeColor="text1"/>
                <w:lang w:eastAsia="en-GB"/>
              </w:rPr>
            </w:pPr>
            <w:r w:rsidRPr="00E51384">
              <w:rPr>
                <w:rFonts w:cs="Arial"/>
                <w:color w:val="000000" w:themeColor="text1"/>
                <w:lang w:eastAsia="en-GB"/>
              </w:rPr>
              <w:t>International/ European higher education institutions, such as The University of Edinburgh, the Technical University of Munich, the University of Manchester, the Technical University of Catalonia, and The National (</w:t>
            </w:r>
            <w:proofErr w:type="spellStart"/>
            <w:r w:rsidRPr="00E51384">
              <w:rPr>
                <w:rFonts w:cs="Arial"/>
                <w:color w:val="000000" w:themeColor="text1"/>
                <w:lang w:eastAsia="en-GB"/>
              </w:rPr>
              <w:t>Metsovian</w:t>
            </w:r>
            <w:proofErr w:type="spellEnd"/>
            <w:r w:rsidRPr="00E51384">
              <w:rPr>
                <w:rFonts w:cs="Arial"/>
                <w:color w:val="000000" w:themeColor="text1"/>
                <w:lang w:eastAsia="en-GB"/>
              </w:rPr>
              <w:t xml:space="preserve">) Technical University of Athens. </w:t>
            </w:r>
          </w:p>
          <w:p w14:paraId="32E17086" w14:textId="6A657F80" w:rsidR="00E96CAB" w:rsidRPr="00E51384" w:rsidRDefault="00E96CAB" w:rsidP="00E96CAB">
            <w:pPr>
              <w:spacing w:line="252" w:lineRule="auto"/>
              <w:jc w:val="both"/>
              <w:rPr>
                <w:rFonts w:cs="Arial"/>
                <w:color w:val="000000" w:themeColor="text1"/>
                <w:lang w:eastAsia="en-GB"/>
              </w:rPr>
            </w:pPr>
          </w:p>
          <w:p w14:paraId="52D934EE" w14:textId="33E744E8" w:rsidR="00E96CAB" w:rsidRDefault="00E96CAB" w:rsidP="00E96CAB">
            <w:pPr>
              <w:spacing w:line="252" w:lineRule="auto"/>
              <w:jc w:val="both"/>
              <w:rPr>
                <w:rFonts w:cs="Arial"/>
                <w:color w:val="000000" w:themeColor="text1"/>
                <w:lang w:eastAsia="en-GB"/>
              </w:rPr>
            </w:pPr>
            <w:r w:rsidRPr="00E51384">
              <w:rPr>
                <w:rFonts w:cs="Arial"/>
                <w:color w:val="000000" w:themeColor="text1"/>
                <w:lang w:eastAsia="en-GB"/>
              </w:rPr>
              <w:t>Additionally</w:t>
            </w:r>
            <w:r w:rsidR="00592577">
              <w:rPr>
                <w:rFonts w:cs="Arial"/>
                <w:color w:val="000000" w:themeColor="text1"/>
                <w:lang w:eastAsia="en-GB"/>
              </w:rPr>
              <w:t xml:space="preserve"> the above faculty members find best practices by:</w:t>
            </w:r>
            <w:r w:rsidRPr="00E51384">
              <w:rPr>
                <w:rFonts w:cs="Arial"/>
                <w:color w:val="000000" w:themeColor="text1"/>
                <w:lang w:eastAsia="en-GB"/>
              </w:rPr>
              <w:t xml:space="preserve"> </w:t>
            </w:r>
          </w:p>
          <w:p w14:paraId="448930B9" w14:textId="77777777" w:rsidR="00592577" w:rsidRPr="00E51384" w:rsidRDefault="00592577" w:rsidP="00E96CAB">
            <w:pPr>
              <w:spacing w:line="252" w:lineRule="auto"/>
              <w:jc w:val="both"/>
              <w:rPr>
                <w:rFonts w:cs="Arial"/>
                <w:color w:val="000000" w:themeColor="text1"/>
                <w:lang w:eastAsia="en-GB"/>
              </w:rPr>
            </w:pPr>
          </w:p>
          <w:p w14:paraId="613B120D" w14:textId="36AAAFDA" w:rsidR="004A4D7A" w:rsidRPr="00E51384" w:rsidRDefault="004A4D7A" w:rsidP="004A4D7A">
            <w:pPr>
              <w:pStyle w:val="ListParagraph"/>
              <w:numPr>
                <w:ilvl w:val="0"/>
                <w:numId w:val="4"/>
              </w:numPr>
              <w:spacing w:line="252" w:lineRule="auto"/>
              <w:jc w:val="both"/>
              <w:rPr>
                <w:rFonts w:cs="Arial"/>
                <w:color w:val="000000" w:themeColor="text1"/>
                <w:lang w:eastAsia="en-GB"/>
              </w:rPr>
            </w:pPr>
            <w:r w:rsidRPr="00E51384">
              <w:rPr>
                <w:rFonts w:cs="Arial"/>
                <w:color w:val="000000" w:themeColor="text1"/>
                <w:lang w:eastAsia="en-GB"/>
              </w:rPr>
              <w:t>obtain</w:t>
            </w:r>
            <w:r w:rsidR="00592577">
              <w:rPr>
                <w:rFonts w:cs="Arial"/>
                <w:color w:val="000000" w:themeColor="text1"/>
                <w:lang w:eastAsia="en-GB"/>
              </w:rPr>
              <w:t>ing</w:t>
            </w:r>
            <w:r w:rsidRPr="00E51384">
              <w:rPr>
                <w:rFonts w:cs="Arial"/>
                <w:color w:val="000000" w:themeColor="text1"/>
                <w:lang w:eastAsia="en-GB"/>
              </w:rPr>
              <w:t xml:space="preserve"> the input of our external</w:t>
            </w:r>
            <w:r w:rsidR="00592577">
              <w:rPr>
                <w:rFonts w:cs="Arial"/>
                <w:color w:val="000000" w:themeColor="text1"/>
                <w:lang w:eastAsia="en-GB"/>
              </w:rPr>
              <w:t xml:space="preserve"> partners and stakeholders;</w:t>
            </w:r>
          </w:p>
          <w:p w14:paraId="7FF70A6E" w14:textId="55080020" w:rsidR="004A4D7A" w:rsidRPr="00E51384" w:rsidRDefault="008F1C2F" w:rsidP="008F1C2F">
            <w:pPr>
              <w:pStyle w:val="ListParagraph"/>
              <w:numPr>
                <w:ilvl w:val="0"/>
                <w:numId w:val="4"/>
              </w:numPr>
              <w:spacing w:line="252" w:lineRule="auto"/>
              <w:jc w:val="both"/>
              <w:rPr>
                <w:rFonts w:cs="Arial"/>
                <w:color w:val="000000" w:themeColor="text1"/>
                <w:lang w:eastAsia="en-GB"/>
              </w:rPr>
            </w:pPr>
            <w:r w:rsidRPr="00E51384">
              <w:rPr>
                <w:rFonts w:cs="Arial"/>
                <w:color w:val="000000" w:themeColor="text1"/>
                <w:lang w:eastAsia="en-GB"/>
              </w:rPr>
              <w:t>analys</w:t>
            </w:r>
            <w:r w:rsidR="00592577">
              <w:rPr>
                <w:rFonts w:cs="Arial"/>
                <w:color w:val="000000" w:themeColor="text1"/>
                <w:lang w:eastAsia="en-GB"/>
              </w:rPr>
              <w:t>ing</w:t>
            </w:r>
            <w:r w:rsidRPr="00E51384">
              <w:rPr>
                <w:rFonts w:cs="Arial"/>
                <w:color w:val="000000" w:themeColor="text1"/>
                <w:lang w:eastAsia="en-GB"/>
              </w:rPr>
              <w:t xml:space="preserve"> the </w:t>
            </w:r>
            <w:r w:rsidR="004A4D7A" w:rsidRPr="00E51384">
              <w:rPr>
                <w:rFonts w:cs="Arial"/>
                <w:color w:val="000000" w:themeColor="text1"/>
                <w:lang w:eastAsia="en-GB"/>
              </w:rPr>
              <w:t>reports</w:t>
            </w:r>
            <w:r w:rsidRPr="00E51384">
              <w:rPr>
                <w:rFonts w:cs="Arial"/>
                <w:color w:val="000000" w:themeColor="text1"/>
                <w:lang w:eastAsia="en-GB"/>
              </w:rPr>
              <w:t xml:space="preserve"> and guidelines</w:t>
            </w:r>
            <w:r w:rsidR="004A4D7A" w:rsidRPr="00E51384">
              <w:rPr>
                <w:rFonts w:cs="Arial"/>
                <w:color w:val="000000" w:themeColor="text1"/>
                <w:lang w:eastAsia="en-GB"/>
              </w:rPr>
              <w:t xml:space="preserve"> issued by the </w:t>
            </w:r>
            <w:r w:rsidRPr="00E51384">
              <w:rPr>
                <w:rFonts w:cs="Arial"/>
                <w:color w:val="000000" w:themeColor="text1"/>
                <w:lang w:eastAsia="en-GB"/>
              </w:rPr>
              <w:t>Cyprus Ministry of Education, Culture, Youth and Sports</w:t>
            </w:r>
            <w:r w:rsidR="004A4D7A" w:rsidRPr="00E51384">
              <w:rPr>
                <w:rFonts w:cs="Arial"/>
                <w:color w:val="000000" w:themeColor="text1"/>
                <w:lang w:eastAsia="en-GB"/>
              </w:rPr>
              <w:t xml:space="preserve"> and the </w:t>
            </w:r>
            <w:r w:rsidRPr="00E51384">
              <w:rPr>
                <w:rFonts w:cs="Arial"/>
                <w:color w:val="000000" w:themeColor="text1"/>
                <w:lang w:eastAsia="en-GB"/>
              </w:rPr>
              <w:t>Cyprus Agency of Quality Assurance and Accreditation in Higher Education (CYQAA)</w:t>
            </w:r>
            <w:r w:rsidR="00EB4E1D" w:rsidRPr="00E51384">
              <w:rPr>
                <w:rFonts w:cs="Arial"/>
                <w:color w:val="000000" w:themeColor="text1"/>
                <w:lang w:eastAsia="en-GB"/>
              </w:rPr>
              <w:t>;</w:t>
            </w:r>
          </w:p>
          <w:p w14:paraId="4B2B1416" w14:textId="0C9A7CE5" w:rsidR="004A4D7A" w:rsidRPr="00E51384" w:rsidRDefault="004A4D7A" w:rsidP="004A4D7A">
            <w:pPr>
              <w:pStyle w:val="ListParagraph"/>
              <w:numPr>
                <w:ilvl w:val="0"/>
                <w:numId w:val="4"/>
              </w:numPr>
              <w:spacing w:line="252" w:lineRule="auto"/>
              <w:jc w:val="both"/>
              <w:rPr>
                <w:rFonts w:cs="Arial"/>
                <w:color w:val="000000" w:themeColor="text1"/>
                <w:lang w:eastAsia="en-GB"/>
              </w:rPr>
            </w:pPr>
            <w:r w:rsidRPr="00E51384">
              <w:rPr>
                <w:rFonts w:cs="Arial"/>
                <w:color w:val="000000" w:themeColor="text1"/>
                <w:lang w:eastAsia="en-GB"/>
              </w:rPr>
              <w:t>analys</w:t>
            </w:r>
            <w:r w:rsidR="00592577">
              <w:rPr>
                <w:rFonts w:cs="Arial"/>
                <w:color w:val="000000" w:themeColor="text1"/>
                <w:lang w:eastAsia="en-GB"/>
              </w:rPr>
              <w:t>ing</w:t>
            </w:r>
            <w:r w:rsidRPr="00E51384">
              <w:rPr>
                <w:rFonts w:cs="Arial"/>
                <w:color w:val="000000" w:themeColor="text1"/>
                <w:lang w:eastAsia="en-GB"/>
              </w:rPr>
              <w:t xml:space="preserve"> the study findings and </w:t>
            </w:r>
            <w:r w:rsidR="008F1C2F" w:rsidRPr="00E51384">
              <w:rPr>
                <w:rFonts w:cs="Arial"/>
                <w:color w:val="000000" w:themeColor="text1"/>
                <w:lang w:eastAsia="en-GB"/>
              </w:rPr>
              <w:t>guidelines</w:t>
            </w:r>
            <w:r w:rsidRPr="00E51384">
              <w:rPr>
                <w:rFonts w:cs="Arial"/>
                <w:color w:val="000000" w:themeColor="text1"/>
                <w:lang w:eastAsia="en-GB"/>
              </w:rPr>
              <w:t xml:space="preserve"> issued by </w:t>
            </w:r>
            <w:r w:rsidRPr="00E51384">
              <w:rPr>
                <w:color w:val="000000" w:themeColor="text1"/>
              </w:rPr>
              <w:t xml:space="preserve">European Associations, such as the European Association of Institutions in </w:t>
            </w:r>
            <w:r w:rsidRPr="00E51384">
              <w:rPr>
                <w:color w:val="000000" w:themeColor="text1"/>
              </w:rPr>
              <w:lastRenderedPageBreak/>
              <w:t>Higher Education (EURASHE) and the European Education Area</w:t>
            </w:r>
            <w:r w:rsidR="00EB4E1D" w:rsidRPr="00E51384">
              <w:rPr>
                <w:color w:val="000000" w:themeColor="text1"/>
              </w:rPr>
              <w:t xml:space="preserve"> (EEA); and</w:t>
            </w:r>
          </w:p>
          <w:p w14:paraId="46FA4E9E" w14:textId="18E3B5FA" w:rsidR="004A4D7A" w:rsidRPr="00E51384" w:rsidRDefault="004A4D7A" w:rsidP="004A4D7A">
            <w:pPr>
              <w:pStyle w:val="ListParagraph"/>
              <w:numPr>
                <w:ilvl w:val="0"/>
                <w:numId w:val="4"/>
              </w:numPr>
              <w:spacing w:line="252" w:lineRule="auto"/>
              <w:jc w:val="both"/>
              <w:rPr>
                <w:rFonts w:cs="Arial"/>
                <w:color w:val="000000" w:themeColor="text1"/>
                <w:lang w:eastAsia="en-GB"/>
              </w:rPr>
            </w:pPr>
            <w:r w:rsidRPr="00E51384">
              <w:rPr>
                <w:rFonts w:cs="Arial"/>
                <w:color w:val="000000" w:themeColor="text1"/>
                <w:lang w:eastAsia="en-GB"/>
              </w:rPr>
              <w:t>analys</w:t>
            </w:r>
            <w:r w:rsidR="00592577">
              <w:rPr>
                <w:rFonts w:cs="Arial"/>
                <w:color w:val="000000" w:themeColor="text1"/>
                <w:lang w:eastAsia="en-GB"/>
              </w:rPr>
              <w:t>ing</w:t>
            </w:r>
            <w:r w:rsidRPr="00E51384">
              <w:rPr>
                <w:rFonts w:cs="Arial"/>
                <w:color w:val="000000" w:themeColor="text1"/>
                <w:lang w:eastAsia="en-GB"/>
              </w:rPr>
              <w:t xml:space="preserve"> the study findings and </w:t>
            </w:r>
            <w:r w:rsidR="008F1C2F" w:rsidRPr="00E51384">
              <w:rPr>
                <w:rFonts w:cs="Arial"/>
                <w:color w:val="000000" w:themeColor="text1"/>
                <w:lang w:eastAsia="en-GB"/>
              </w:rPr>
              <w:t>guidelines</w:t>
            </w:r>
            <w:r w:rsidRPr="00E51384">
              <w:rPr>
                <w:rFonts w:cs="Arial"/>
                <w:color w:val="000000" w:themeColor="text1"/>
                <w:lang w:eastAsia="en-GB"/>
              </w:rPr>
              <w:t xml:space="preserve"> issued by </w:t>
            </w:r>
            <w:r w:rsidRPr="00E51384">
              <w:rPr>
                <w:color w:val="000000" w:themeColor="text1"/>
              </w:rPr>
              <w:t>international organizations such as HEA (Higher Education Academy, UK) and Advance HE (US).</w:t>
            </w:r>
          </w:p>
          <w:p w14:paraId="4A2CDAD1" w14:textId="77777777" w:rsidR="008F1C2F" w:rsidRPr="00E51384" w:rsidRDefault="008F1C2F" w:rsidP="008F1C2F">
            <w:pPr>
              <w:spacing w:line="252" w:lineRule="auto"/>
              <w:jc w:val="both"/>
              <w:rPr>
                <w:rFonts w:cs="Arial"/>
                <w:color w:val="000000" w:themeColor="text1"/>
                <w:lang w:eastAsia="en-GB"/>
              </w:rPr>
            </w:pPr>
          </w:p>
          <w:p w14:paraId="49ADB127" w14:textId="5B3BB911" w:rsidR="008F1C2F" w:rsidRDefault="00E51384" w:rsidP="008F1C2F">
            <w:pPr>
              <w:spacing w:line="252" w:lineRule="auto"/>
              <w:jc w:val="both"/>
              <w:rPr>
                <w:rFonts w:cs="Arial"/>
                <w:color w:val="000000" w:themeColor="text1"/>
                <w:lang w:eastAsia="en-GB"/>
              </w:rPr>
            </w:pPr>
            <w:r w:rsidRPr="00E51384">
              <w:rPr>
                <w:rFonts w:cs="Arial"/>
                <w:color w:val="000000" w:themeColor="text1"/>
                <w:lang w:eastAsia="en-GB"/>
              </w:rPr>
              <w:t>Some</w:t>
            </w:r>
            <w:r w:rsidR="004060A5" w:rsidRPr="00E51384">
              <w:rPr>
                <w:rFonts w:cs="Arial"/>
                <w:color w:val="000000" w:themeColor="text1"/>
                <w:lang w:eastAsia="en-GB"/>
              </w:rPr>
              <w:t xml:space="preserve"> of the recent practices we have implemented at American College</w:t>
            </w:r>
            <w:r w:rsidRPr="00E51384">
              <w:rPr>
                <w:rFonts w:cs="Arial"/>
                <w:color w:val="000000" w:themeColor="text1"/>
                <w:lang w:eastAsia="en-GB"/>
              </w:rPr>
              <w:t xml:space="preserve"> are:</w:t>
            </w:r>
          </w:p>
          <w:p w14:paraId="1D379C84" w14:textId="77777777" w:rsidR="00592577" w:rsidRPr="00E51384" w:rsidRDefault="00592577" w:rsidP="008F1C2F">
            <w:pPr>
              <w:spacing w:line="252" w:lineRule="auto"/>
              <w:jc w:val="both"/>
              <w:rPr>
                <w:rFonts w:cs="Arial"/>
                <w:color w:val="000000" w:themeColor="text1"/>
                <w:lang w:eastAsia="en-GB"/>
              </w:rPr>
            </w:pPr>
          </w:p>
          <w:p w14:paraId="4FABECDE" w14:textId="68FC5029" w:rsidR="00E51384" w:rsidRPr="00E51384" w:rsidRDefault="00E51384" w:rsidP="00E51384">
            <w:pPr>
              <w:pStyle w:val="ListParagraph"/>
              <w:numPr>
                <w:ilvl w:val="0"/>
                <w:numId w:val="13"/>
              </w:numPr>
              <w:spacing w:line="252" w:lineRule="auto"/>
              <w:jc w:val="both"/>
              <w:rPr>
                <w:rFonts w:cs="Arial"/>
                <w:color w:val="000000" w:themeColor="text1"/>
                <w:lang w:eastAsia="en-GB"/>
              </w:rPr>
            </w:pPr>
            <w:r w:rsidRPr="00E51384">
              <w:rPr>
                <w:rFonts w:cs="Arial"/>
                <w:color w:val="000000" w:themeColor="text1"/>
                <w:lang w:eastAsia="en-GB"/>
              </w:rPr>
              <w:t>the establishment of an Equality Diversion Inclusion (EDI) Committee aiming at eliminating prejudice and any form of discrimination because of individual characteristics</w:t>
            </w:r>
            <w:r>
              <w:rPr>
                <w:rFonts w:cs="Arial"/>
                <w:color w:val="000000" w:themeColor="text1"/>
                <w:lang w:eastAsia="en-GB"/>
              </w:rPr>
              <w:t>;</w:t>
            </w:r>
          </w:p>
          <w:p w14:paraId="11AAD65F" w14:textId="1E1EEE34" w:rsidR="00E51384" w:rsidRPr="00E51384" w:rsidRDefault="00E51384" w:rsidP="00E51384">
            <w:pPr>
              <w:pStyle w:val="ListParagraph"/>
              <w:numPr>
                <w:ilvl w:val="0"/>
                <w:numId w:val="13"/>
              </w:numPr>
              <w:spacing w:line="252" w:lineRule="auto"/>
              <w:jc w:val="both"/>
              <w:rPr>
                <w:rFonts w:cs="Arial"/>
                <w:color w:val="000000" w:themeColor="text1"/>
                <w:lang w:eastAsia="en-GB"/>
              </w:rPr>
            </w:pPr>
            <w:r w:rsidRPr="00E51384">
              <w:rPr>
                <w:rFonts w:cs="Arial"/>
                <w:color w:val="000000" w:themeColor="text1"/>
                <w:lang w:eastAsia="en-GB"/>
              </w:rPr>
              <w:t>the i</w:t>
            </w:r>
            <w:r>
              <w:rPr>
                <w:rFonts w:cs="Arial"/>
                <w:color w:val="000000" w:themeColor="text1"/>
                <w:lang w:eastAsia="en-GB"/>
              </w:rPr>
              <w:t>mplementation</w:t>
            </w:r>
            <w:r w:rsidRPr="00E51384">
              <w:rPr>
                <w:rFonts w:cs="Arial"/>
                <w:color w:val="000000" w:themeColor="text1"/>
                <w:lang w:eastAsia="en-GB"/>
              </w:rPr>
              <w:t xml:space="preserve"> of ‘Peer Mentoring</w:t>
            </w:r>
            <w:r w:rsidR="00592577">
              <w:rPr>
                <w:rFonts w:cs="Arial"/>
                <w:color w:val="000000" w:themeColor="text1"/>
                <w:lang w:eastAsia="en-GB"/>
              </w:rPr>
              <w:t xml:space="preserve"> for students</w:t>
            </w:r>
            <w:r w:rsidRPr="00E51384">
              <w:rPr>
                <w:rFonts w:cs="Arial"/>
                <w:color w:val="000000" w:themeColor="text1"/>
                <w:lang w:eastAsia="en-GB"/>
              </w:rPr>
              <w:t>’; students on the 3</w:t>
            </w:r>
            <w:r w:rsidRPr="00E51384">
              <w:rPr>
                <w:rFonts w:cs="Arial"/>
                <w:color w:val="000000" w:themeColor="text1"/>
                <w:vertAlign w:val="superscript"/>
                <w:lang w:eastAsia="en-GB"/>
              </w:rPr>
              <w:t>rd</w:t>
            </w:r>
            <w:r w:rsidRPr="00E51384">
              <w:rPr>
                <w:rFonts w:cs="Arial"/>
                <w:color w:val="000000" w:themeColor="text1"/>
                <w:lang w:eastAsia="en-GB"/>
              </w:rPr>
              <w:t xml:space="preserve"> or final year act as mentors to 1</w:t>
            </w:r>
            <w:r w:rsidRPr="00E51384">
              <w:rPr>
                <w:rFonts w:cs="Arial"/>
                <w:color w:val="000000" w:themeColor="text1"/>
                <w:vertAlign w:val="superscript"/>
                <w:lang w:eastAsia="en-GB"/>
              </w:rPr>
              <w:t>st</w:t>
            </w:r>
            <w:r w:rsidRPr="00E51384">
              <w:rPr>
                <w:rFonts w:cs="Arial"/>
                <w:color w:val="000000" w:themeColor="text1"/>
                <w:lang w:eastAsia="en-GB"/>
              </w:rPr>
              <w:t xml:space="preserve"> year students to help them settle and familiarize with the College and the City. Student mentors went through an orientation meeting so to get acquainted with their new role’s tasks and activities to ensure effective support to newcomers</w:t>
            </w:r>
            <w:r>
              <w:rPr>
                <w:rFonts w:cs="Arial"/>
                <w:color w:val="000000" w:themeColor="text1"/>
                <w:lang w:eastAsia="en-GB"/>
              </w:rPr>
              <w:t>. Orientation meetings for new Student Mentors will be held biannually, prior to the commence of a new semester; and</w:t>
            </w:r>
          </w:p>
          <w:p w14:paraId="6ECBE8DB" w14:textId="49E5A066" w:rsidR="00E51384" w:rsidRPr="008F1C2F" w:rsidRDefault="00E51384" w:rsidP="00592577">
            <w:pPr>
              <w:pStyle w:val="ListParagraph"/>
              <w:numPr>
                <w:ilvl w:val="0"/>
                <w:numId w:val="13"/>
              </w:numPr>
              <w:spacing w:line="252" w:lineRule="auto"/>
              <w:jc w:val="both"/>
              <w:rPr>
                <w:rFonts w:cs="Arial"/>
                <w:color w:val="FF0000"/>
                <w:lang w:eastAsia="en-GB"/>
              </w:rPr>
            </w:pPr>
            <w:r w:rsidRPr="00E51384">
              <w:rPr>
                <w:rFonts w:cs="Arial"/>
                <w:color w:val="000000" w:themeColor="text1"/>
                <w:lang w:eastAsia="en-GB"/>
              </w:rPr>
              <w:t>the assignment of a secondary advisor to students to help them get multiple insights on their academic and professional targets. Secondary advisors can be faculty members o</w:t>
            </w:r>
            <w:r>
              <w:rPr>
                <w:rFonts w:cs="Arial"/>
                <w:color w:val="000000" w:themeColor="text1"/>
                <w:lang w:eastAsia="en-GB"/>
              </w:rPr>
              <w:t>r</w:t>
            </w:r>
            <w:r w:rsidRPr="00E51384">
              <w:rPr>
                <w:rFonts w:cs="Arial"/>
                <w:color w:val="000000" w:themeColor="text1"/>
                <w:lang w:eastAsia="en-GB"/>
              </w:rPr>
              <w:t xml:space="preserve"> administrative staff, and students were informed and encouraged to consult their secondary advisors.</w:t>
            </w:r>
            <w:r w:rsidR="00424DF3">
              <w:rPr>
                <w:rFonts w:cs="Arial"/>
                <w:color w:val="000000" w:themeColor="text1"/>
                <w:lang w:eastAsia="en-GB"/>
              </w:rPr>
              <w:t xml:space="preserve"> </w:t>
            </w:r>
            <w:r w:rsidR="00073E4C">
              <w:rPr>
                <w:rFonts w:cs="Arial"/>
                <w:color w:val="000000" w:themeColor="text1"/>
                <w:lang w:eastAsia="en-GB"/>
              </w:rPr>
              <w:t>Primary Academic</w:t>
            </w:r>
            <w:r w:rsidR="00424DF3">
              <w:rPr>
                <w:rFonts w:cs="Arial"/>
                <w:color w:val="000000" w:themeColor="text1"/>
                <w:lang w:eastAsia="en-GB"/>
              </w:rPr>
              <w:t xml:space="preserve"> advisors already informed students on the role of their secondary advisor and the benefits gain</w:t>
            </w:r>
            <w:r w:rsidR="00592577">
              <w:rPr>
                <w:rFonts w:cs="Arial"/>
                <w:color w:val="000000" w:themeColor="text1"/>
                <w:lang w:eastAsia="en-GB"/>
              </w:rPr>
              <w:t>ed</w:t>
            </w:r>
            <w:r w:rsidR="00424DF3">
              <w:rPr>
                <w:rFonts w:cs="Arial"/>
                <w:color w:val="000000" w:themeColor="text1"/>
                <w:lang w:eastAsia="en-GB"/>
              </w:rPr>
              <w:t xml:space="preserve"> b</w:t>
            </w:r>
            <w:r w:rsidR="00073E4C">
              <w:rPr>
                <w:rFonts w:cs="Arial"/>
                <w:color w:val="000000" w:themeColor="text1"/>
                <w:lang w:eastAsia="en-GB"/>
              </w:rPr>
              <w:t>y consulting bot</w:t>
            </w:r>
            <w:r w:rsidR="00592577">
              <w:rPr>
                <w:rFonts w:cs="Arial"/>
                <w:color w:val="000000" w:themeColor="text1"/>
                <w:lang w:eastAsia="en-GB"/>
              </w:rPr>
              <w:t>h their advisors.</w:t>
            </w:r>
          </w:p>
        </w:tc>
      </w:tr>
      <w:tr w:rsidR="00DC21FC" w:rsidRPr="001F6DE3" w14:paraId="388CBB80" w14:textId="77777777" w:rsidTr="00AA4E59">
        <w:tc>
          <w:tcPr>
            <w:tcW w:w="562" w:type="dxa"/>
            <w:vAlign w:val="center"/>
          </w:tcPr>
          <w:p w14:paraId="2C22F6DF"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54659583" w14:textId="65674A26" w:rsidR="00DC21FC" w:rsidRPr="00C412F6" w:rsidRDefault="00DC21FC" w:rsidP="00DC21FC">
            <w:pPr>
              <w:jc w:val="both"/>
            </w:pPr>
            <w:r w:rsidRPr="00C412F6">
              <w:t xml:space="preserve">The recommendation about inviting external experts </w:t>
            </w:r>
            <w:r w:rsidRPr="00D32CF0">
              <w:rPr>
                <w:b/>
              </w:rPr>
              <w:t>has been recorded but not yet implemented</w:t>
            </w:r>
            <w:r w:rsidRPr="00C412F6">
              <w:t>, as it will be at the end of the pandemic.</w:t>
            </w:r>
          </w:p>
        </w:tc>
        <w:tc>
          <w:tcPr>
            <w:tcW w:w="6734" w:type="dxa"/>
            <w:vAlign w:val="center"/>
          </w:tcPr>
          <w:p w14:paraId="5825ADE3" w14:textId="02445E12" w:rsidR="00DC21FC" w:rsidRPr="001F6DE3" w:rsidRDefault="00DC21FC" w:rsidP="00DC21FC">
            <w:pPr>
              <w:spacing w:line="252" w:lineRule="auto"/>
              <w:jc w:val="both"/>
              <w:rPr>
                <w:rFonts w:cs="Arial"/>
                <w:lang w:eastAsia="en-GB"/>
              </w:rPr>
            </w:pPr>
            <w:r w:rsidRPr="00306487">
              <w:rPr>
                <w:rFonts w:cs="Arial"/>
                <w:lang w:eastAsia="en-GB"/>
              </w:rPr>
              <w:t xml:space="preserve">See point </w:t>
            </w:r>
            <w:r>
              <w:rPr>
                <w:rFonts w:cs="Arial"/>
                <w:lang w:eastAsia="en-GB"/>
              </w:rPr>
              <w:t>8</w:t>
            </w:r>
            <w:r w:rsidRPr="00306487">
              <w:rPr>
                <w:rFonts w:cs="Arial"/>
                <w:lang w:eastAsia="en-GB"/>
              </w:rPr>
              <w:t xml:space="preserve"> above.</w:t>
            </w:r>
          </w:p>
        </w:tc>
      </w:tr>
      <w:tr w:rsidR="00DC21FC" w:rsidRPr="001F6DE3" w14:paraId="5C856569" w14:textId="77777777" w:rsidTr="00AA4E59">
        <w:tc>
          <w:tcPr>
            <w:tcW w:w="562" w:type="dxa"/>
            <w:vAlign w:val="center"/>
          </w:tcPr>
          <w:p w14:paraId="36BA7E61"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7FDE58BC" w14:textId="77777777" w:rsidR="00DC21FC" w:rsidRPr="00D32CF0" w:rsidRDefault="00DC21FC" w:rsidP="00DC21FC">
            <w:pPr>
              <w:pStyle w:val="Default"/>
              <w:jc w:val="both"/>
              <w:rPr>
                <w:rFonts w:asciiTheme="minorHAnsi" w:hAnsiTheme="minorHAnsi" w:cstheme="minorHAnsi"/>
                <w:sz w:val="22"/>
                <w:szCs w:val="22"/>
              </w:rPr>
            </w:pPr>
            <w:r w:rsidRPr="00D32CF0">
              <w:rPr>
                <w:rFonts w:asciiTheme="minorHAnsi" w:hAnsiTheme="minorHAnsi" w:cstheme="minorHAnsi"/>
                <w:sz w:val="22"/>
                <w:szCs w:val="22"/>
              </w:rPr>
              <w:t xml:space="preserve">The recommendation about introducing an explicit thesis activity </w:t>
            </w:r>
            <w:r w:rsidRPr="00D32CF0">
              <w:rPr>
                <w:rFonts w:asciiTheme="minorHAnsi" w:hAnsiTheme="minorHAnsi" w:cstheme="minorHAnsi"/>
                <w:b/>
                <w:sz w:val="22"/>
                <w:szCs w:val="22"/>
              </w:rPr>
              <w:t>has not been satisfied</w:t>
            </w:r>
            <w:r w:rsidRPr="00D32CF0">
              <w:rPr>
                <w:rFonts w:asciiTheme="minorHAnsi" w:hAnsiTheme="minorHAnsi" w:cstheme="minorHAnsi"/>
                <w:sz w:val="22"/>
                <w:szCs w:val="22"/>
              </w:rPr>
              <w:t xml:space="preserve">. A typical thesis for a 4-years BSc in Computer Science should be at least 30 ECTS. For instance, at the University of Edinburgh (one of the Schools quoted as a model by the American College answer) the 4th year </w:t>
            </w:r>
            <w:proofErr w:type="spellStart"/>
            <w:r w:rsidRPr="00D32CF0">
              <w:rPr>
                <w:rFonts w:asciiTheme="minorHAnsi" w:hAnsiTheme="minorHAnsi" w:cstheme="minorHAnsi"/>
                <w:sz w:val="22"/>
                <w:szCs w:val="22"/>
              </w:rPr>
              <w:t>Honors</w:t>
            </w:r>
            <w:proofErr w:type="spellEnd"/>
            <w:r w:rsidRPr="00D32CF0">
              <w:rPr>
                <w:rFonts w:asciiTheme="minorHAnsi" w:hAnsiTheme="minorHAnsi" w:cstheme="minorHAnsi"/>
                <w:sz w:val="22"/>
                <w:szCs w:val="22"/>
              </w:rPr>
              <w:t xml:space="preserve"> project takes 40 ECTS. See: </w:t>
            </w:r>
          </w:p>
          <w:p w14:paraId="2B8F18BF" w14:textId="0FFF1EE2" w:rsidR="00DC21FC" w:rsidRPr="00C412F6" w:rsidRDefault="00DC21FC" w:rsidP="00DC21FC">
            <w:pPr>
              <w:jc w:val="both"/>
            </w:pPr>
            <w:r w:rsidRPr="00D32CF0">
              <w:rPr>
                <w:rFonts w:cstheme="minorHAnsi"/>
                <w:color w:val="1154CC"/>
              </w:rPr>
              <w:t>https://www.ed.ac</w:t>
            </w:r>
            <w:r>
              <w:rPr>
                <w:color w:val="1154CC"/>
              </w:rPr>
              <w:t>.uk/informatics/undergraduate/our-degrees/degree-overview</w:t>
            </w:r>
          </w:p>
        </w:tc>
        <w:tc>
          <w:tcPr>
            <w:tcW w:w="6734" w:type="dxa"/>
            <w:vAlign w:val="center"/>
          </w:tcPr>
          <w:p w14:paraId="43B23329" w14:textId="77777777" w:rsidR="00DC21FC" w:rsidRPr="006825BF" w:rsidRDefault="00DC21FC" w:rsidP="00DC21FC">
            <w:pPr>
              <w:spacing w:line="252" w:lineRule="auto"/>
              <w:jc w:val="both"/>
              <w:rPr>
                <w:rFonts w:cs="Arial"/>
                <w:lang w:eastAsia="en-GB"/>
              </w:rPr>
            </w:pPr>
          </w:p>
          <w:p w14:paraId="2BB51222" w14:textId="5D1A5E59" w:rsidR="00DC21FC" w:rsidRPr="001F6DE3" w:rsidRDefault="00DC21FC" w:rsidP="000F35A8">
            <w:pPr>
              <w:spacing w:line="252" w:lineRule="auto"/>
              <w:jc w:val="both"/>
              <w:rPr>
                <w:rFonts w:cs="Arial"/>
                <w:lang w:eastAsia="en-GB"/>
              </w:rPr>
            </w:pPr>
            <w:r w:rsidRPr="006825BF">
              <w:rPr>
                <w:rFonts w:cs="Arial"/>
                <w:lang w:eastAsia="en-GB"/>
              </w:rPr>
              <w:t xml:space="preserve">Following EEC further comments/recommendations we have revised the </w:t>
            </w:r>
            <w:r>
              <w:rPr>
                <w:rFonts w:cs="Arial"/>
                <w:lang w:eastAsia="en-GB"/>
              </w:rPr>
              <w:t xml:space="preserve">Thesis component of </w:t>
            </w:r>
            <w:r w:rsidRPr="006825BF">
              <w:rPr>
                <w:rFonts w:cs="Arial"/>
                <w:lang w:eastAsia="en-GB"/>
              </w:rPr>
              <w:t xml:space="preserve">the program. </w:t>
            </w:r>
            <w:r>
              <w:rPr>
                <w:rFonts w:cs="Arial"/>
                <w:lang w:eastAsia="en-GB"/>
              </w:rPr>
              <w:t xml:space="preserve">In </w:t>
            </w:r>
            <w:r w:rsidRPr="000F35A8">
              <w:rPr>
                <w:rFonts w:cs="Arial"/>
                <w:b/>
                <w:lang w:eastAsia="en-GB"/>
              </w:rPr>
              <w:t>Annex</w:t>
            </w:r>
            <w:r w:rsidR="000F35A8" w:rsidRPr="000F35A8">
              <w:rPr>
                <w:rFonts w:cs="Arial"/>
                <w:b/>
                <w:lang w:eastAsia="en-GB"/>
              </w:rPr>
              <w:t>es</w:t>
            </w:r>
            <w:r w:rsidRPr="000F35A8">
              <w:rPr>
                <w:rFonts w:cs="Arial"/>
                <w:b/>
                <w:lang w:eastAsia="en-GB"/>
              </w:rPr>
              <w:t xml:space="preserve"> </w:t>
            </w:r>
            <w:r w:rsidR="000F35A8" w:rsidRPr="000F35A8">
              <w:rPr>
                <w:rFonts w:cs="Arial"/>
                <w:b/>
                <w:lang w:eastAsia="en-GB"/>
              </w:rPr>
              <w:t>10 and 11</w:t>
            </w:r>
            <w:r>
              <w:rPr>
                <w:rFonts w:cs="Arial"/>
                <w:lang w:eastAsia="en-GB"/>
              </w:rPr>
              <w:t xml:space="preserve"> you may find the revised syllabus</w:t>
            </w:r>
            <w:r w:rsidR="00C83809">
              <w:rPr>
                <w:rFonts w:cs="Arial"/>
                <w:lang w:eastAsia="en-GB"/>
              </w:rPr>
              <w:t>es</w:t>
            </w:r>
            <w:r>
              <w:rPr>
                <w:rFonts w:cs="Arial"/>
                <w:lang w:eastAsia="en-GB"/>
              </w:rPr>
              <w:t xml:space="preserve"> of </w:t>
            </w:r>
            <w:r w:rsidRPr="006825BF">
              <w:rPr>
                <w:rFonts w:cs="Arial"/>
                <w:lang w:eastAsia="en-GB"/>
              </w:rPr>
              <w:t xml:space="preserve">CSC414 Computer Science Project I </w:t>
            </w:r>
            <w:r>
              <w:rPr>
                <w:rFonts w:cs="Arial"/>
                <w:lang w:eastAsia="en-GB"/>
              </w:rPr>
              <w:t xml:space="preserve">and </w:t>
            </w:r>
            <w:r w:rsidRPr="006825BF">
              <w:rPr>
                <w:rFonts w:cs="Arial"/>
                <w:lang w:eastAsia="en-GB"/>
              </w:rPr>
              <w:t>CSC415 Computer Science Project II</w:t>
            </w:r>
            <w:r>
              <w:rPr>
                <w:rFonts w:cs="Arial"/>
                <w:lang w:eastAsia="en-GB"/>
              </w:rPr>
              <w:t xml:space="preserve">. The amount of work needed for completion of the Thesis component has doubled and </w:t>
            </w:r>
            <w:r w:rsidRPr="006825BF">
              <w:rPr>
                <w:rFonts w:cs="Arial"/>
                <w:lang w:eastAsia="en-GB"/>
              </w:rPr>
              <w:t>the number of ECTS credits for the Computer Science Project I and II were increased from 6 to 12 credits each. Therefore, the total number of ECTS credits carried by the Thesis of this program is 24.</w:t>
            </w:r>
            <w:r>
              <w:rPr>
                <w:rFonts w:cs="Arial"/>
                <w:lang w:eastAsia="en-GB"/>
              </w:rPr>
              <w:t xml:space="preserve"> The University of Edinburgh has a 40 UK credits Thesis which is equivalent to 20 ECTS credits. We believe that the revised number of ECTS credits allocated to our Thesis (24 ECTS) and the amount of required work are now adequate.</w:t>
            </w:r>
          </w:p>
        </w:tc>
      </w:tr>
      <w:tr w:rsidR="00DC21FC" w:rsidRPr="00C412F6" w14:paraId="1CE459B5" w14:textId="77777777" w:rsidTr="008C6BA2">
        <w:trPr>
          <w:trHeight w:val="567"/>
        </w:trPr>
        <w:tc>
          <w:tcPr>
            <w:tcW w:w="14029" w:type="dxa"/>
            <w:gridSpan w:val="3"/>
            <w:shd w:val="clear" w:color="auto" w:fill="D9D9D9" w:themeFill="background1" w:themeFillShade="D9"/>
            <w:vAlign w:val="center"/>
          </w:tcPr>
          <w:p w14:paraId="54C4CC74" w14:textId="6E7D7832" w:rsidR="00DC21FC" w:rsidRPr="00C412F6" w:rsidRDefault="00DC21FC" w:rsidP="00DC21FC">
            <w:pPr>
              <w:spacing w:line="252" w:lineRule="auto"/>
              <w:rPr>
                <w:rFonts w:cs="Arial"/>
                <w:b/>
                <w:lang w:eastAsia="en-GB"/>
              </w:rPr>
            </w:pPr>
            <w:r w:rsidRPr="00D32CF0">
              <w:rPr>
                <w:rFonts w:cs="Arial"/>
                <w:b/>
                <w:lang w:eastAsia="en-GB"/>
              </w:rPr>
              <w:t>3. Teaching staff</w:t>
            </w:r>
            <w:r>
              <w:rPr>
                <w:rFonts w:cs="Arial"/>
                <w:b/>
                <w:lang w:val="el-GR" w:eastAsia="en-GB"/>
              </w:rPr>
              <w:t xml:space="preserve"> </w:t>
            </w:r>
            <w:r w:rsidRPr="00D32CF0">
              <w:rPr>
                <w:rFonts w:cs="Arial"/>
                <w:b/>
                <w:lang w:eastAsia="en-GB"/>
              </w:rPr>
              <w:t>(ESG 1.5)</w:t>
            </w:r>
          </w:p>
        </w:tc>
      </w:tr>
      <w:tr w:rsidR="00DC21FC" w:rsidRPr="001F6DE3" w14:paraId="0F260DA5" w14:textId="77777777" w:rsidTr="00AA4E59">
        <w:tc>
          <w:tcPr>
            <w:tcW w:w="562" w:type="dxa"/>
            <w:vAlign w:val="center"/>
          </w:tcPr>
          <w:p w14:paraId="5BAEA9AC"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56B01090" w14:textId="2A34BAB5" w:rsidR="00DC21FC" w:rsidRPr="00C412F6" w:rsidRDefault="00DC21FC" w:rsidP="00DC21FC">
            <w:pPr>
              <w:jc w:val="both"/>
            </w:pPr>
            <w:r w:rsidRPr="00D32CF0">
              <w:t>The College has an ambitious growth plan after obtaining the accreditation. This is not reflected in staff recruitment planning, that is as student numbers multiply only 2 members of staff will be added 3 years after accreditation. The College</w:t>
            </w:r>
            <w:r w:rsidR="009E0C25">
              <w:t xml:space="preserve">                                                                                                                                                                                                                                                                                                                                                                                                                                                                                                                                                                                                                                                                                                                                                                                                                                                                                                                                                                                                                                           </w:t>
            </w:r>
            <w:r w:rsidRPr="00D32CF0">
              <w:t>’s response does not sufficiently address EEC’s concern on staffing.</w:t>
            </w:r>
          </w:p>
        </w:tc>
        <w:tc>
          <w:tcPr>
            <w:tcW w:w="6734" w:type="dxa"/>
            <w:vAlign w:val="center"/>
          </w:tcPr>
          <w:p w14:paraId="3C8EE2E6" w14:textId="77777777" w:rsidR="009E0C25" w:rsidRDefault="009E0C25" w:rsidP="00A41C35">
            <w:pPr>
              <w:spacing w:line="252" w:lineRule="auto"/>
              <w:jc w:val="both"/>
              <w:rPr>
                <w:rFonts w:cs="Arial"/>
                <w:lang w:eastAsia="en-GB"/>
              </w:rPr>
            </w:pPr>
            <w:r>
              <w:rPr>
                <w:rFonts w:cs="Arial"/>
                <w:lang w:eastAsia="en-GB"/>
              </w:rPr>
              <w:t>Based on your recommendation we have revised our staff recruitment planning to the following:</w:t>
            </w:r>
          </w:p>
          <w:p w14:paraId="7EBFD6AF" w14:textId="77777777" w:rsidR="009E0C25" w:rsidRDefault="009E0C25" w:rsidP="00A41C35">
            <w:pPr>
              <w:spacing w:line="252" w:lineRule="auto"/>
              <w:jc w:val="both"/>
              <w:rPr>
                <w:rFonts w:cs="Arial"/>
                <w:lang w:eastAsia="en-GB"/>
              </w:rPr>
            </w:pPr>
          </w:p>
          <w:p w14:paraId="2CCE5DDD" w14:textId="77777777" w:rsidR="009E0C25" w:rsidRDefault="009E0C25" w:rsidP="009E0C25">
            <w:pPr>
              <w:spacing w:line="252" w:lineRule="auto"/>
              <w:ind w:left="246"/>
              <w:jc w:val="both"/>
            </w:pPr>
            <w:r>
              <w:rPr>
                <w:rFonts w:cs="Arial"/>
                <w:lang w:eastAsia="en-GB"/>
              </w:rPr>
              <w:t>1</w:t>
            </w:r>
            <w:r w:rsidRPr="009E0C25">
              <w:rPr>
                <w:rFonts w:cs="Arial"/>
                <w:lang w:eastAsia="en-GB"/>
              </w:rPr>
              <w:t xml:space="preserve"> year after accreditation we will employ 1 Full-time equivalent (FTE) teaching personnel to satisfy the additional teaching needs of Year 1. </w:t>
            </w:r>
            <w:r>
              <w:rPr>
                <w:rFonts w:cs="Arial"/>
                <w:lang w:eastAsia="en-GB"/>
              </w:rPr>
              <w:t>2</w:t>
            </w:r>
            <w:r w:rsidRPr="009E0C25">
              <w:rPr>
                <w:rFonts w:cs="Arial"/>
                <w:lang w:eastAsia="en-GB"/>
              </w:rPr>
              <w:t xml:space="preserve"> years after accreditation we will employ another 1 FTE equivalent teaching personnel to satisfy the additional teaching needs of Year 2</w:t>
            </w:r>
            <w:r>
              <w:rPr>
                <w:rFonts w:cs="Arial"/>
                <w:lang w:eastAsia="en-GB"/>
              </w:rPr>
              <w:t>,</w:t>
            </w:r>
            <w:r>
              <w:t xml:space="preserve"> </w:t>
            </w:r>
            <w:r>
              <w:rPr>
                <w:rFonts w:cs="Arial"/>
                <w:lang w:eastAsia="en-GB"/>
              </w:rPr>
              <w:t>3</w:t>
            </w:r>
            <w:r w:rsidRPr="009E0C25">
              <w:rPr>
                <w:rFonts w:cs="Arial"/>
                <w:lang w:eastAsia="en-GB"/>
              </w:rPr>
              <w:t xml:space="preserve"> years after accreditation we will employ another 1 FTE equivalent teaching personnel to satisfy the additional teaching needs of Year </w:t>
            </w:r>
            <w:r>
              <w:rPr>
                <w:rFonts w:cs="Arial"/>
                <w:lang w:eastAsia="en-GB"/>
              </w:rPr>
              <w:t>3 and 4</w:t>
            </w:r>
            <w:r w:rsidRPr="009E0C25">
              <w:rPr>
                <w:rFonts w:cs="Arial"/>
                <w:lang w:eastAsia="en-GB"/>
              </w:rPr>
              <w:t xml:space="preserve"> years after accreditation we will employ another 1 FTE </w:t>
            </w:r>
            <w:r w:rsidRPr="009E0C25">
              <w:rPr>
                <w:rFonts w:cs="Arial"/>
                <w:lang w:eastAsia="en-GB"/>
              </w:rPr>
              <w:lastRenderedPageBreak/>
              <w:t xml:space="preserve">equivalent teaching personnel to satisfy the additional teaching needs of Year </w:t>
            </w:r>
            <w:r>
              <w:rPr>
                <w:rFonts w:cs="Arial"/>
                <w:lang w:eastAsia="en-GB"/>
              </w:rPr>
              <w:t>4</w:t>
            </w:r>
            <w:r>
              <w:t>.</w:t>
            </w:r>
          </w:p>
          <w:p w14:paraId="194065AD" w14:textId="77777777" w:rsidR="009E0C25" w:rsidRDefault="009E0C25" w:rsidP="009E0C25">
            <w:pPr>
              <w:spacing w:line="252" w:lineRule="auto"/>
              <w:jc w:val="both"/>
            </w:pPr>
          </w:p>
          <w:p w14:paraId="3B783F6D" w14:textId="67B2AE47" w:rsidR="009E0C25" w:rsidRPr="001F6DE3" w:rsidRDefault="009E0C25" w:rsidP="009E0C25">
            <w:pPr>
              <w:spacing w:line="252" w:lineRule="auto"/>
              <w:jc w:val="both"/>
              <w:rPr>
                <w:rFonts w:cs="Arial"/>
                <w:lang w:eastAsia="en-GB"/>
              </w:rPr>
            </w:pPr>
            <w:r>
              <w:t xml:space="preserve">The employment of </w:t>
            </w:r>
            <w:proofErr w:type="spellStart"/>
            <w:r w:rsidRPr="009E0C25">
              <w:t>Dr.</w:t>
            </w:r>
            <w:proofErr w:type="spellEnd"/>
            <w:r w:rsidRPr="009E0C25">
              <w:t xml:space="preserve"> </w:t>
            </w:r>
            <w:proofErr w:type="spellStart"/>
            <w:r w:rsidRPr="009E0C25">
              <w:t>Ioannis</w:t>
            </w:r>
            <w:proofErr w:type="spellEnd"/>
            <w:r w:rsidRPr="009E0C25">
              <w:t xml:space="preserve"> </w:t>
            </w:r>
            <w:proofErr w:type="spellStart"/>
            <w:r w:rsidRPr="009E0C25">
              <w:t>Filippopoulos</w:t>
            </w:r>
            <w:proofErr w:type="spellEnd"/>
            <w:r>
              <w:t xml:space="preserve"> and </w:t>
            </w:r>
            <w:r w:rsidRPr="009E0C25">
              <w:t>Mr Michael Savva</w:t>
            </w:r>
            <w:r>
              <w:t xml:space="preserve"> </w:t>
            </w:r>
            <w:r w:rsidRPr="009E0C25">
              <w:t xml:space="preserve">(see points 7 and 10 above) </w:t>
            </w:r>
            <w:r>
              <w:t xml:space="preserve">together with the above revised staff recruitment planning will result </w:t>
            </w:r>
            <w:r w:rsidRPr="009E0C25">
              <w:rPr>
                <w:rFonts w:cs="Arial"/>
                <w:lang w:eastAsia="en-GB"/>
              </w:rPr>
              <w:t xml:space="preserve">in a total of </w:t>
            </w:r>
            <w:r>
              <w:rPr>
                <w:rFonts w:cs="Arial"/>
                <w:lang w:eastAsia="en-GB"/>
              </w:rPr>
              <w:t>6</w:t>
            </w:r>
            <w:r w:rsidRPr="009E0C25">
              <w:rPr>
                <w:rFonts w:cs="Arial"/>
                <w:lang w:eastAsia="en-GB"/>
              </w:rPr>
              <w:t xml:space="preserve"> new FTE just </w:t>
            </w:r>
            <w:r>
              <w:rPr>
                <w:rFonts w:cs="Arial"/>
                <w:lang w:eastAsia="en-GB"/>
              </w:rPr>
              <w:t>4</w:t>
            </w:r>
            <w:r w:rsidRPr="009E0C25">
              <w:rPr>
                <w:rFonts w:cs="Arial"/>
                <w:lang w:eastAsia="en-GB"/>
              </w:rPr>
              <w:t xml:space="preserve"> years after accreditation</w:t>
            </w:r>
            <w:r>
              <w:rPr>
                <w:rFonts w:cs="Arial"/>
                <w:lang w:eastAsia="en-GB"/>
              </w:rPr>
              <w:t>.</w:t>
            </w:r>
          </w:p>
        </w:tc>
      </w:tr>
      <w:tr w:rsidR="00DC21FC" w:rsidRPr="001F6DE3" w14:paraId="5D970243" w14:textId="77777777" w:rsidTr="00AA4E59">
        <w:tc>
          <w:tcPr>
            <w:tcW w:w="562" w:type="dxa"/>
            <w:vAlign w:val="center"/>
          </w:tcPr>
          <w:p w14:paraId="7DF38CFE"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0374EB35" w14:textId="710E2561" w:rsidR="00DC21FC" w:rsidRPr="00C412F6" w:rsidRDefault="00DC21FC" w:rsidP="00DC21FC">
            <w:pPr>
              <w:jc w:val="both"/>
            </w:pPr>
            <w:r w:rsidRPr="00D32CF0">
              <w:t>The issue that EEC raised in regard to academic job advertisement has not been satisfactorily addressed. In fact, the revised example of advert as shown in Annex 11 is woefully inadequate. It does not even contain the minimum amount of information on job description, career pathway, and it has no information on Equality, Diversity and Inclusivity.</w:t>
            </w:r>
          </w:p>
        </w:tc>
        <w:tc>
          <w:tcPr>
            <w:tcW w:w="6734" w:type="dxa"/>
            <w:vAlign w:val="center"/>
          </w:tcPr>
          <w:p w14:paraId="376FF857" w14:textId="12FFE56A" w:rsidR="00DC21FC" w:rsidRPr="001F6DE3" w:rsidRDefault="007A728F" w:rsidP="000F35A8">
            <w:pPr>
              <w:spacing w:line="252" w:lineRule="auto"/>
              <w:jc w:val="both"/>
              <w:rPr>
                <w:rFonts w:cs="Arial"/>
                <w:lang w:eastAsia="en-GB"/>
              </w:rPr>
            </w:pPr>
            <w:r>
              <w:rPr>
                <w:rFonts w:cs="Arial"/>
                <w:lang w:eastAsia="en-GB"/>
              </w:rPr>
              <w:t xml:space="preserve">Based on your recommendation we have revised our academic job advertisement template. </w:t>
            </w:r>
            <w:r w:rsidR="00DC21FC">
              <w:rPr>
                <w:rFonts w:cs="Arial"/>
                <w:lang w:eastAsia="en-GB"/>
              </w:rPr>
              <w:t xml:space="preserve">In </w:t>
            </w:r>
            <w:r w:rsidR="00DC21FC" w:rsidRPr="000F35A8">
              <w:rPr>
                <w:rFonts w:cs="Arial"/>
                <w:b/>
                <w:lang w:eastAsia="en-GB"/>
              </w:rPr>
              <w:t xml:space="preserve">Annex </w:t>
            </w:r>
            <w:r w:rsidR="000F35A8" w:rsidRPr="000F35A8">
              <w:rPr>
                <w:rFonts w:cs="Arial"/>
                <w:b/>
                <w:lang w:eastAsia="en-GB"/>
              </w:rPr>
              <w:t>12</w:t>
            </w:r>
            <w:r w:rsidR="00DC21FC" w:rsidRPr="000F35A8">
              <w:rPr>
                <w:rFonts w:cs="Arial"/>
                <w:lang w:eastAsia="en-GB"/>
              </w:rPr>
              <w:t xml:space="preserve"> </w:t>
            </w:r>
            <w:r w:rsidR="00DC21FC">
              <w:rPr>
                <w:rFonts w:cs="Arial"/>
                <w:lang w:eastAsia="en-GB"/>
              </w:rPr>
              <w:t xml:space="preserve">you may find the revised </w:t>
            </w:r>
            <w:r>
              <w:t>template</w:t>
            </w:r>
            <w:r w:rsidR="00DC21FC">
              <w:t xml:space="preserve">. </w:t>
            </w:r>
          </w:p>
        </w:tc>
      </w:tr>
      <w:tr w:rsidR="00DC21FC" w:rsidRPr="001F6DE3" w14:paraId="66789F9D" w14:textId="77777777" w:rsidTr="00AA4E59">
        <w:tc>
          <w:tcPr>
            <w:tcW w:w="562" w:type="dxa"/>
            <w:vAlign w:val="center"/>
          </w:tcPr>
          <w:p w14:paraId="2BEEECE8"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080353AE" w14:textId="390A9AC6" w:rsidR="00DC21FC" w:rsidRPr="00C412F6" w:rsidRDefault="00DC21FC" w:rsidP="00DC21FC">
            <w:pPr>
              <w:jc w:val="both"/>
            </w:pPr>
            <w:r w:rsidRPr="00D32CF0">
              <w:t>The revised staff handbook regarding faculty ranks, promotion, and procedure contain some further information. However, criteria are still not sufficiently explained. Generic texts are used to accompany criteria 4-7; there is no actual explanation of what is expected from staff. Appeal information is not provided. Hence, this issue is only partially addressed.</w:t>
            </w:r>
          </w:p>
        </w:tc>
        <w:tc>
          <w:tcPr>
            <w:tcW w:w="6734" w:type="dxa"/>
            <w:vAlign w:val="center"/>
          </w:tcPr>
          <w:p w14:paraId="02ADF40F" w14:textId="13A5B63C" w:rsidR="002B2692" w:rsidRPr="001F6DE3" w:rsidRDefault="008A4E29" w:rsidP="000F35A8">
            <w:pPr>
              <w:spacing w:line="252" w:lineRule="auto"/>
              <w:jc w:val="both"/>
              <w:rPr>
                <w:rFonts w:cs="Arial"/>
                <w:lang w:eastAsia="en-GB"/>
              </w:rPr>
            </w:pPr>
            <w:r>
              <w:rPr>
                <w:rFonts w:cs="Arial"/>
                <w:lang w:eastAsia="en-GB"/>
              </w:rPr>
              <w:t xml:space="preserve">Criteria 4-7 in the faculty handbook were </w:t>
            </w:r>
            <w:r w:rsidR="007A728F">
              <w:rPr>
                <w:rFonts w:cs="Arial"/>
                <w:lang w:eastAsia="en-GB"/>
              </w:rPr>
              <w:t>revised</w:t>
            </w:r>
            <w:r>
              <w:rPr>
                <w:rFonts w:cs="Arial"/>
                <w:lang w:eastAsia="en-GB"/>
              </w:rPr>
              <w:t xml:space="preserve"> </w:t>
            </w:r>
            <w:r w:rsidR="007A728F">
              <w:rPr>
                <w:rFonts w:cs="Arial"/>
                <w:lang w:eastAsia="en-GB"/>
              </w:rPr>
              <w:t>in order</w:t>
            </w:r>
            <w:r>
              <w:rPr>
                <w:rFonts w:cs="Arial"/>
                <w:lang w:eastAsia="en-GB"/>
              </w:rPr>
              <w:t xml:space="preserve"> to provide clearer information to faculty,</w:t>
            </w:r>
            <w:r>
              <w:t xml:space="preserve"> </w:t>
            </w:r>
            <w:r>
              <w:rPr>
                <w:rFonts w:cs="Arial"/>
                <w:lang w:eastAsia="en-GB"/>
              </w:rPr>
              <w:t xml:space="preserve">regarding faculty ranks and </w:t>
            </w:r>
            <w:r w:rsidRPr="008A4E29">
              <w:rPr>
                <w:rFonts w:cs="Arial"/>
                <w:lang w:eastAsia="en-GB"/>
              </w:rPr>
              <w:t>promotion</w:t>
            </w:r>
            <w:r>
              <w:rPr>
                <w:rFonts w:cs="Arial"/>
                <w:lang w:eastAsia="en-GB"/>
              </w:rPr>
              <w:t xml:space="preserve">. The revised criteria can be found </w:t>
            </w:r>
            <w:r w:rsidRPr="008A4E29">
              <w:rPr>
                <w:rFonts w:cs="Arial"/>
                <w:lang w:eastAsia="en-GB"/>
              </w:rPr>
              <w:t xml:space="preserve">in </w:t>
            </w:r>
            <w:r w:rsidRPr="000F35A8">
              <w:rPr>
                <w:rFonts w:cs="Arial"/>
                <w:b/>
                <w:lang w:eastAsia="en-GB"/>
              </w:rPr>
              <w:t xml:space="preserve">Annex </w:t>
            </w:r>
            <w:r w:rsidR="000F35A8" w:rsidRPr="000F35A8">
              <w:rPr>
                <w:rFonts w:cs="Arial"/>
                <w:b/>
                <w:lang w:eastAsia="en-GB"/>
              </w:rPr>
              <w:t>13</w:t>
            </w:r>
            <w:r w:rsidRPr="008A4E29">
              <w:rPr>
                <w:rFonts w:cs="Arial"/>
                <w:lang w:eastAsia="en-GB"/>
              </w:rPr>
              <w:t>.</w:t>
            </w:r>
            <w:r>
              <w:rPr>
                <w:rFonts w:cs="Arial"/>
                <w:lang w:eastAsia="en-GB"/>
              </w:rPr>
              <w:t xml:space="preserve"> </w:t>
            </w:r>
            <w:r w:rsidR="007A728F">
              <w:rPr>
                <w:rFonts w:cs="Arial"/>
                <w:lang w:eastAsia="en-GB"/>
              </w:rPr>
              <w:t>In addition a</w:t>
            </w:r>
            <w:r w:rsidR="002B2692">
              <w:rPr>
                <w:rFonts w:cs="Arial"/>
                <w:lang w:eastAsia="en-GB"/>
              </w:rPr>
              <w:t xml:space="preserve">n appeal procedure provision has been </w:t>
            </w:r>
            <w:r>
              <w:rPr>
                <w:rFonts w:cs="Arial"/>
                <w:lang w:eastAsia="en-GB"/>
              </w:rPr>
              <w:t xml:space="preserve">added </w:t>
            </w:r>
            <w:r w:rsidR="002B2692">
              <w:rPr>
                <w:rFonts w:cs="Arial"/>
                <w:lang w:eastAsia="en-GB"/>
              </w:rPr>
              <w:t xml:space="preserve">in the Organization, Administration and Faculty Handbook. An extract of this section in found in </w:t>
            </w:r>
            <w:r w:rsidR="002B2692" w:rsidRPr="000F35A8">
              <w:rPr>
                <w:rFonts w:cs="Arial"/>
                <w:b/>
                <w:lang w:eastAsia="en-GB"/>
              </w:rPr>
              <w:t xml:space="preserve">Annex </w:t>
            </w:r>
            <w:r w:rsidR="000F35A8" w:rsidRPr="000F35A8">
              <w:rPr>
                <w:rFonts w:cs="Arial"/>
                <w:b/>
                <w:lang w:eastAsia="en-GB"/>
              </w:rPr>
              <w:t>14</w:t>
            </w:r>
            <w:r w:rsidR="002B2692">
              <w:rPr>
                <w:rFonts w:cs="Arial"/>
                <w:lang w:eastAsia="en-GB"/>
              </w:rPr>
              <w:t xml:space="preserve">. </w:t>
            </w:r>
          </w:p>
        </w:tc>
      </w:tr>
      <w:tr w:rsidR="00DC21FC" w:rsidRPr="001F6DE3" w14:paraId="2FAABC51" w14:textId="77777777" w:rsidTr="00AA4E59">
        <w:tc>
          <w:tcPr>
            <w:tcW w:w="562" w:type="dxa"/>
            <w:vAlign w:val="center"/>
          </w:tcPr>
          <w:p w14:paraId="03903539"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4E568C85" w14:textId="5F9DF25E" w:rsidR="00DC21FC" w:rsidRPr="00D32CF0" w:rsidRDefault="00DC21FC" w:rsidP="00DC21FC">
            <w:pPr>
              <w:jc w:val="both"/>
            </w:pPr>
            <w:r w:rsidRPr="00D32CF0">
              <w:t>The 12 hours teaching delivery per week is for research focused faculty and additional 3 hours will be added for “Less Research” track staff, according to the handbook. The EEC maintains that this load is too high to accommodate research and other activities, considering commonly twice as much time is required to prepare for teaching delivery, marking and dealing with student queries. This effectively leaves hardly any time for research during the two teaching blocks. The issue is more pronounced when taking into account that the members of the Computer Science Department have to cover a wide range of topics due to low staffing</w:t>
            </w:r>
          </w:p>
        </w:tc>
        <w:tc>
          <w:tcPr>
            <w:tcW w:w="6734" w:type="dxa"/>
            <w:vAlign w:val="center"/>
          </w:tcPr>
          <w:p w14:paraId="6959A8B9" w14:textId="1D89CDFA" w:rsidR="00DC21FC" w:rsidRPr="001F6DE3" w:rsidRDefault="00DC21FC" w:rsidP="000F35A8">
            <w:pPr>
              <w:spacing w:line="252" w:lineRule="auto"/>
              <w:jc w:val="both"/>
              <w:rPr>
                <w:rFonts w:cs="Arial"/>
                <w:lang w:eastAsia="en-GB"/>
              </w:rPr>
            </w:pPr>
            <w:r>
              <w:rPr>
                <w:rFonts w:cs="Arial"/>
                <w:lang w:eastAsia="en-GB"/>
              </w:rPr>
              <w:t xml:space="preserve">In </w:t>
            </w:r>
            <w:r w:rsidRPr="000F35A8">
              <w:rPr>
                <w:rFonts w:cs="Arial"/>
                <w:b/>
                <w:lang w:eastAsia="en-GB"/>
              </w:rPr>
              <w:t xml:space="preserve">Annex </w:t>
            </w:r>
            <w:r w:rsidR="000F35A8" w:rsidRPr="000F35A8">
              <w:rPr>
                <w:rFonts w:cs="Arial"/>
                <w:b/>
                <w:lang w:eastAsia="en-GB"/>
              </w:rPr>
              <w:t>15</w:t>
            </w:r>
            <w:r w:rsidRPr="000F35A8">
              <w:rPr>
                <w:rFonts w:cs="Arial"/>
                <w:color w:val="FF0000"/>
                <w:lang w:eastAsia="en-GB"/>
              </w:rPr>
              <w:t xml:space="preserve"> </w:t>
            </w:r>
            <w:r>
              <w:rPr>
                <w:rFonts w:cs="Arial"/>
                <w:lang w:eastAsia="en-GB"/>
              </w:rPr>
              <w:t xml:space="preserve">you may find the revised teaching load policy of the College based on the recommendation of the EEC. With the revised policy the teaching load of research focused faculty members has been reduced. The revised policy </w:t>
            </w:r>
            <w:r w:rsidRPr="00206A9D">
              <w:rPr>
                <w:rFonts w:cs="Arial"/>
                <w:lang w:eastAsia="en-GB"/>
              </w:rPr>
              <w:t>encourages research and empower</w:t>
            </w:r>
            <w:r>
              <w:rPr>
                <w:rFonts w:cs="Arial"/>
                <w:lang w:eastAsia="en-GB"/>
              </w:rPr>
              <w:t>s</w:t>
            </w:r>
            <w:r w:rsidRPr="00206A9D">
              <w:rPr>
                <w:rFonts w:cs="Arial"/>
                <w:lang w:eastAsia="en-GB"/>
              </w:rPr>
              <w:t xml:space="preserve"> staff to collaborate with other institutions on research.</w:t>
            </w:r>
          </w:p>
        </w:tc>
      </w:tr>
      <w:tr w:rsidR="00DC21FC" w:rsidRPr="001F6DE3" w14:paraId="3866DF6A" w14:textId="77777777" w:rsidTr="00AA4E59">
        <w:tc>
          <w:tcPr>
            <w:tcW w:w="562" w:type="dxa"/>
            <w:vAlign w:val="center"/>
          </w:tcPr>
          <w:p w14:paraId="362571C8"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558AC671" w14:textId="7C944B25" w:rsidR="00DC21FC" w:rsidRPr="00D32CF0" w:rsidRDefault="00DC21FC" w:rsidP="00DC21FC">
            <w:pPr>
              <w:jc w:val="both"/>
            </w:pPr>
            <w:r w:rsidRPr="00D32CF0">
              <w:t>The College states, in the response, that “research is essential” to the College. However, with this high teaching load and low staffing, EEC remains concerned about the College’s commitment to create an environment that encourages research and empower staff to collaborate with other institutions on research.</w:t>
            </w:r>
          </w:p>
        </w:tc>
        <w:tc>
          <w:tcPr>
            <w:tcW w:w="6734" w:type="dxa"/>
            <w:vAlign w:val="center"/>
          </w:tcPr>
          <w:p w14:paraId="47EBB40B" w14:textId="308D3DCF" w:rsidR="00DC21FC" w:rsidRPr="001F6DE3" w:rsidRDefault="00DC21FC" w:rsidP="00DC21FC">
            <w:pPr>
              <w:spacing w:line="252" w:lineRule="auto"/>
              <w:jc w:val="both"/>
              <w:rPr>
                <w:rFonts w:cs="Arial"/>
                <w:lang w:eastAsia="en-GB"/>
              </w:rPr>
            </w:pPr>
            <w:r>
              <w:rPr>
                <w:rFonts w:cs="Arial"/>
                <w:lang w:eastAsia="en-GB"/>
              </w:rPr>
              <w:t>See point 18 above.</w:t>
            </w:r>
          </w:p>
        </w:tc>
      </w:tr>
      <w:tr w:rsidR="00DC21FC" w:rsidRPr="001F6DE3" w14:paraId="4C3C9FC9" w14:textId="77777777" w:rsidTr="008C6BA2">
        <w:tc>
          <w:tcPr>
            <w:tcW w:w="14029" w:type="dxa"/>
            <w:gridSpan w:val="3"/>
            <w:shd w:val="clear" w:color="auto" w:fill="FFF2CC" w:themeFill="accent4" w:themeFillTint="33"/>
            <w:vAlign w:val="center"/>
          </w:tcPr>
          <w:p w14:paraId="7DF21C82" w14:textId="77777777" w:rsidR="00DC21FC" w:rsidRPr="001F6DE3" w:rsidRDefault="00DC21FC" w:rsidP="00DC21FC">
            <w:pPr>
              <w:spacing w:line="252" w:lineRule="auto"/>
              <w:jc w:val="both"/>
              <w:rPr>
                <w:rFonts w:cs="Arial"/>
                <w:lang w:eastAsia="en-GB"/>
              </w:rPr>
            </w:pPr>
            <w:r w:rsidRPr="00C412F6">
              <w:rPr>
                <w:rFonts w:cs="Arial"/>
                <w:lang w:eastAsia="en-GB"/>
              </w:rPr>
              <w:t>(on EEC recommendations)</w:t>
            </w:r>
          </w:p>
        </w:tc>
      </w:tr>
      <w:tr w:rsidR="00DC21FC" w:rsidRPr="001F6DE3" w14:paraId="19614574" w14:textId="77777777" w:rsidTr="00AA4E59">
        <w:tc>
          <w:tcPr>
            <w:tcW w:w="562" w:type="dxa"/>
            <w:vAlign w:val="center"/>
          </w:tcPr>
          <w:p w14:paraId="196740F6"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2933D02C" w14:textId="51ABE41E" w:rsidR="00DC21FC" w:rsidRPr="00D32CF0" w:rsidRDefault="00DC21FC" w:rsidP="00DC21FC">
            <w:pPr>
              <w:jc w:val="both"/>
            </w:pPr>
            <w:r w:rsidRPr="00D32CF0">
              <w:t>Starting to increase staffing 2 years after accreditation is not considered sufficient in addressing the issue. Staffing resources should be in place first before the expansion.</w:t>
            </w:r>
          </w:p>
        </w:tc>
        <w:tc>
          <w:tcPr>
            <w:tcW w:w="6734" w:type="dxa"/>
            <w:vAlign w:val="center"/>
          </w:tcPr>
          <w:p w14:paraId="43C5E14E" w14:textId="1D4E2E5F" w:rsidR="00DC21FC" w:rsidRPr="001F6DE3" w:rsidRDefault="00DC21FC" w:rsidP="00DC21FC">
            <w:pPr>
              <w:spacing w:line="252" w:lineRule="auto"/>
              <w:jc w:val="both"/>
              <w:rPr>
                <w:rFonts w:cs="Arial"/>
                <w:lang w:eastAsia="en-GB"/>
              </w:rPr>
            </w:pPr>
            <w:r w:rsidRPr="00206A9D">
              <w:rPr>
                <w:rFonts w:cs="Arial"/>
                <w:lang w:eastAsia="en-GB"/>
              </w:rPr>
              <w:t xml:space="preserve">See point </w:t>
            </w:r>
            <w:r>
              <w:rPr>
                <w:rFonts w:cs="Arial"/>
                <w:lang w:eastAsia="en-GB"/>
              </w:rPr>
              <w:t>15</w:t>
            </w:r>
            <w:r w:rsidRPr="00206A9D">
              <w:rPr>
                <w:rFonts w:cs="Arial"/>
                <w:lang w:eastAsia="en-GB"/>
              </w:rPr>
              <w:t xml:space="preserve"> above.</w:t>
            </w:r>
          </w:p>
        </w:tc>
      </w:tr>
      <w:tr w:rsidR="00DC21FC" w:rsidRPr="001F6DE3" w14:paraId="48E8E187" w14:textId="77777777" w:rsidTr="00AA4E59">
        <w:tc>
          <w:tcPr>
            <w:tcW w:w="562" w:type="dxa"/>
            <w:vAlign w:val="center"/>
          </w:tcPr>
          <w:p w14:paraId="593C0D39"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6FD437C5" w14:textId="669BE47F" w:rsidR="00DC21FC" w:rsidRPr="00D32CF0" w:rsidRDefault="00DC21FC" w:rsidP="00DC21FC">
            <w:pPr>
              <w:jc w:val="both"/>
            </w:pPr>
            <w:r w:rsidRPr="00D32CF0">
              <w:t>Research budget increase is welcomed by EEC. However, EEC is concerned about 12 hours per week teaching delivery for research focused staff and 15 hours per week for less research focused staff.</w:t>
            </w:r>
          </w:p>
        </w:tc>
        <w:tc>
          <w:tcPr>
            <w:tcW w:w="6734" w:type="dxa"/>
            <w:vAlign w:val="center"/>
          </w:tcPr>
          <w:p w14:paraId="3B6C6845" w14:textId="034AAA06" w:rsidR="00DC21FC" w:rsidRPr="001F6DE3" w:rsidRDefault="00DC21FC" w:rsidP="00DC21FC">
            <w:pPr>
              <w:spacing w:line="252" w:lineRule="auto"/>
              <w:jc w:val="both"/>
              <w:rPr>
                <w:rFonts w:cs="Arial"/>
                <w:lang w:eastAsia="en-GB"/>
              </w:rPr>
            </w:pPr>
            <w:r w:rsidRPr="00206A9D">
              <w:rPr>
                <w:rFonts w:cs="Arial"/>
                <w:lang w:eastAsia="en-GB"/>
              </w:rPr>
              <w:t>See point 18 above.</w:t>
            </w:r>
          </w:p>
        </w:tc>
      </w:tr>
      <w:tr w:rsidR="00DC21FC" w:rsidRPr="001F6DE3" w14:paraId="759D0A34" w14:textId="77777777" w:rsidTr="00AA4E59">
        <w:tc>
          <w:tcPr>
            <w:tcW w:w="562" w:type="dxa"/>
            <w:vAlign w:val="center"/>
          </w:tcPr>
          <w:p w14:paraId="0B4E7BCC"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5CEFEB4B" w14:textId="5476733E" w:rsidR="00DC21FC" w:rsidRPr="00D32CF0" w:rsidRDefault="00DC21FC" w:rsidP="00DC21FC">
            <w:pPr>
              <w:jc w:val="both"/>
            </w:pPr>
            <w:r w:rsidRPr="00D32CF0">
              <w:t>On staffing, EEC is still concerned about the business planning.</w:t>
            </w:r>
          </w:p>
        </w:tc>
        <w:tc>
          <w:tcPr>
            <w:tcW w:w="6734" w:type="dxa"/>
            <w:vAlign w:val="center"/>
          </w:tcPr>
          <w:p w14:paraId="7B228032" w14:textId="34AF8D12" w:rsidR="00DC21FC" w:rsidRPr="001F6DE3" w:rsidRDefault="00DC21FC" w:rsidP="00DC21FC">
            <w:pPr>
              <w:spacing w:line="252" w:lineRule="auto"/>
              <w:jc w:val="both"/>
              <w:rPr>
                <w:rFonts w:cs="Arial"/>
                <w:lang w:eastAsia="en-GB"/>
              </w:rPr>
            </w:pPr>
            <w:r w:rsidRPr="00206A9D">
              <w:rPr>
                <w:rFonts w:cs="Arial"/>
                <w:lang w:eastAsia="en-GB"/>
              </w:rPr>
              <w:t xml:space="preserve">See point </w:t>
            </w:r>
            <w:r>
              <w:rPr>
                <w:rFonts w:cs="Arial"/>
                <w:lang w:eastAsia="en-GB"/>
              </w:rPr>
              <w:t>15</w:t>
            </w:r>
            <w:r w:rsidRPr="00206A9D">
              <w:rPr>
                <w:rFonts w:cs="Arial"/>
                <w:lang w:eastAsia="en-GB"/>
              </w:rPr>
              <w:t xml:space="preserve"> above.</w:t>
            </w:r>
          </w:p>
        </w:tc>
      </w:tr>
      <w:tr w:rsidR="00DC21FC" w:rsidRPr="001F6DE3" w14:paraId="62C6C365" w14:textId="77777777" w:rsidTr="00AA4E59">
        <w:tc>
          <w:tcPr>
            <w:tcW w:w="562" w:type="dxa"/>
            <w:vAlign w:val="center"/>
          </w:tcPr>
          <w:p w14:paraId="66BE9692"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38A33C67" w14:textId="15A74893" w:rsidR="00DC21FC" w:rsidRPr="00D32CF0" w:rsidRDefault="00DC21FC" w:rsidP="00DC21FC">
            <w:pPr>
              <w:jc w:val="both"/>
            </w:pPr>
            <w:r w:rsidRPr="00D32CF0">
              <w:t>On the issue of promotion, procedure and criteria, the College provided some further information and amended the handbook somewhat. However, the staff handbook still contains limited information on criteria, for instance, as explained above.</w:t>
            </w:r>
          </w:p>
        </w:tc>
        <w:tc>
          <w:tcPr>
            <w:tcW w:w="6734" w:type="dxa"/>
            <w:vAlign w:val="center"/>
          </w:tcPr>
          <w:p w14:paraId="6950FB54" w14:textId="717FF6F9" w:rsidR="00DC21FC" w:rsidRPr="001F6DE3" w:rsidRDefault="00DC21FC" w:rsidP="00DC21FC">
            <w:pPr>
              <w:spacing w:line="252" w:lineRule="auto"/>
              <w:jc w:val="both"/>
              <w:rPr>
                <w:rFonts w:cs="Arial"/>
                <w:lang w:eastAsia="en-GB"/>
              </w:rPr>
            </w:pPr>
            <w:r w:rsidRPr="00206A9D">
              <w:rPr>
                <w:rFonts w:cs="Arial"/>
                <w:lang w:eastAsia="en-GB"/>
              </w:rPr>
              <w:t xml:space="preserve">See point </w:t>
            </w:r>
            <w:r>
              <w:rPr>
                <w:rFonts w:cs="Arial"/>
                <w:lang w:eastAsia="en-GB"/>
              </w:rPr>
              <w:t>17</w:t>
            </w:r>
            <w:r w:rsidRPr="00206A9D">
              <w:rPr>
                <w:rFonts w:cs="Arial"/>
                <w:lang w:eastAsia="en-GB"/>
              </w:rPr>
              <w:t xml:space="preserve"> above.</w:t>
            </w:r>
          </w:p>
        </w:tc>
      </w:tr>
      <w:tr w:rsidR="00DC21FC" w:rsidRPr="00C412F6" w14:paraId="1C01D73A" w14:textId="77777777" w:rsidTr="008C6BA2">
        <w:trPr>
          <w:trHeight w:val="567"/>
        </w:trPr>
        <w:tc>
          <w:tcPr>
            <w:tcW w:w="14029" w:type="dxa"/>
            <w:gridSpan w:val="3"/>
            <w:shd w:val="clear" w:color="auto" w:fill="D9D9D9" w:themeFill="background1" w:themeFillShade="D9"/>
            <w:vAlign w:val="center"/>
          </w:tcPr>
          <w:p w14:paraId="4CD17EFF" w14:textId="19D32FEE" w:rsidR="00DC21FC" w:rsidRPr="00C412F6" w:rsidRDefault="00DC21FC" w:rsidP="00DC21FC">
            <w:pPr>
              <w:spacing w:line="252" w:lineRule="auto"/>
              <w:rPr>
                <w:rFonts w:cs="Arial"/>
                <w:b/>
                <w:lang w:eastAsia="en-GB"/>
              </w:rPr>
            </w:pPr>
            <w:r w:rsidRPr="00D32CF0">
              <w:rPr>
                <w:rFonts w:cs="Arial"/>
                <w:b/>
                <w:lang w:eastAsia="en-GB"/>
              </w:rPr>
              <w:t>4. Student admission, progression, recognition and certification (ESG 1.4)</w:t>
            </w:r>
          </w:p>
        </w:tc>
      </w:tr>
      <w:tr w:rsidR="00DC21FC" w:rsidRPr="001F6DE3" w14:paraId="0377E761" w14:textId="77777777" w:rsidTr="00AA4E59">
        <w:tc>
          <w:tcPr>
            <w:tcW w:w="562" w:type="dxa"/>
            <w:vAlign w:val="center"/>
          </w:tcPr>
          <w:p w14:paraId="64F5D025" w14:textId="77777777" w:rsidR="00DC21FC" w:rsidRPr="002B7F13" w:rsidRDefault="00DC21FC" w:rsidP="00DC21FC">
            <w:pPr>
              <w:pStyle w:val="ListParagraph"/>
              <w:numPr>
                <w:ilvl w:val="0"/>
                <w:numId w:val="1"/>
              </w:numPr>
              <w:ind w:left="0" w:firstLine="0"/>
              <w:contextualSpacing w:val="0"/>
              <w:jc w:val="right"/>
            </w:pPr>
          </w:p>
        </w:tc>
        <w:tc>
          <w:tcPr>
            <w:tcW w:w="6733" w:type="dxa"/>
            <w:vAlign w:val="center"/>
          </w:tcPr>
          <w:p w14:paraId="453F199F" w14:textId="3683750A" w:rsidR="00DC21FC" w:rsidRPr="00D32CF0" w:rsidRDefault="00DC21FC" w:rsidP="00DC21FC">
            <w:pPr>
              <w:jc w:val="both"/>
            </w:pPr>
            <w:r w:rsidRPr="00D32CF0">
              <w:t>The point about the gender ratio of the students has not been satisfactorily addressed.</w:t>
            </w:r>
          </w:p>
        </w:tc>
        <w:tc>
          <w:tcPr>
            <w:tcW w:w="6734" w:type="dxa"/>
            <w:vAlign w:val="center"/>
          </w:tcPr>
          <w:p w14:paraId="20C6BE1B" w14:textId="2A3CE13E" w:rsidR="00DC21FC" w:rsidRPr="001F6DE3" w:rsidRDefault="00DC21FC" w:rsidP="00DC21FC">
            <w:pPr>
              <w:spacing w:line="252" w:lineRule="auto"/>
              <w:jc w:val="both"/>
              <w:rPr>
                <w:rFonts w:cs="Arial"/>
                <w:lang w:eastAsia="en-GB"/>
              </w:rPr>
            </w:pPr>
            <w:r w:rsidRPr="00206A9D">
              <w:rPr>
                <w:rFonts w:cs="Arial"/>
                <w:lang w:eastAsia="en-GB"/>
              </w:rPr>
              <w:t xml:space="preserve">See point </w:t>
            </w:r>
            <w:r>
              <w:rPr>
                <w:rFonts w:cs="Arial"/>
                <w:lang w:eastAsia="en-GB"/>
              </w:rPr>
              <w:t>5</w:t>
            </w:r>
            <w:r w:rsidRPr="00206A9D">
              <w:rPr>
                <w:rFonts w:cs="Arial"/>
                <w:lang w:eastAsia="en-GB"/>
              </w:rPr>
              <w:t xml:space="preserve"> above.</w:t>
            </w:r>
          </w:p>
        </w:tc>
      </w:tr>
      <w:tr w:rsidR="00DC21FC" w:rsidRPr="00C412F6" w14:paraId="36E5F5E7" w14:textId="77777777" w:rsidTr="008C6BA2">
        <w:trPr>
          <w:trHeight w:val="567"/>
        </w:trPr>
        <w:tc>
          <w:tcPr>
            <w:tcW w:w="14029" w:type="dxa"/>
            <w:gridSpan w:val="3"/>
            <w:shd w:val="clear" w:color="auto" w:fill="D9D9D9" w:themeFill="background1" w:themeFillShade="D9"/>
            <w:vAlign w:val="center"/>
          </w:tcPr>
          <w:p w14:paraId="20B0BA40" w14:textId="18999E76" w:rsidR="00DC21FC" w:rsidRPr="00C412F6" w:rsidRDefault="00DC21FC" w:rsidP="00DC21FC">
            <w:pPr>
              <w:spacing w:line="252" w:lineRule="auto"/>
              <w:rPr>
                <w:rFonts w:cs="Arial"/>
                <w:b/>
                <w:lang w:eastAsia="en-GB"/>
              </w:rPr>
            </w:pPr>
            <w:r>
              <w:rPr>
                <w:rFonts w:cs="Arial"/>
                <w:b/>
                <w:lang w:eastAsia="en-GB"/>
              </w:rPr>
              <w:t>5</w:t>
            </w:r>
            <w:r w:rsidRPr="00D32CF0">
              <w:rPr>
                <w:rFonts w:cs="Arial"/>
                <w:b/>
                <w:lang w:eastAsia="en-GB"/>
              </w:rPr>
              <w:t>. Learning resources and student support (ESG 1.6)</w:t>
            </w:r>
          </w:p>
        </w:tc>
      </w:tr>
      <w:tr w:rsidR="00DC21FC" w:rsidRPr="001F6DE3" w14:paraId="41EE28C7" w14:textId="77777777" w:rsidTr="00B90A0C">
        <w:tc>
          <w:tcPr>
            <w:tcW w:w="14029" w:type="dxa"/>
            <w:gridSpan w:val="3"/>
            <w:vAlign w:val="center"/>
          </w:tcPr>
          <w:p w14:paraId="28864412" w14:textId="26858F9F" w:rsidR="00DC21FC" w:rsidRPr="00D32CF0" w:rsidRDefault="00DC21FC" w:rsidP="00DC21FC">
            <w:pPr>
              <w:spacing w:line="252" w:lineRule="auto"/>
              <w:jc w:val="both"/>
              <w:rPr>
                <w:rFonts w:cs="Arial"/>
                <w:lang w:eastAsia="en-GB"/>
              </w:rPr>
            </w:pPr>
            <w:r>
              <w:rPr>
                <w:rFonts w:cs="Arial"/>
                <w:lang w:eastAsia="en-GB"/>
              </w:rPr>
              <w:t xml:space="preserve">All </w:t>
            </w:r>
            <w:r w:rsidRPr="00D32CF0">
              <w:rPr>
                <w:rFonts w:cs="Arial"/>
                <w:lang w:eastAsia="en-GB"/>
              </w:rPr>
              <w:t>EEC’s final recommendations and comments on the HEI’s response</w:t>
            </w:r>
            <w:r>
              <w:rPr>
                <w:rFonts w:cs="Arial"/>
                <w:lang w:eastAsia="en-GB"/>
              </w:rPr>
              <w:t xml:space="preserve"> </w:t>
            </w:r>
            <w:r w:rsidRPr="00D32CF0">
              <w:rPr>
                <w:rFonts w:cs="Arial"/>
                <w:lang w:eastAsia="en-GB"/>
              </w:rPr>
              <w:t>ha</w:t>
            </w:r>
            <w:r>
              <w:rPr>
                <w:rFonts w:cs="Arial"/>
                <w:lang w:eastAsia="en-GB"/>
              </w:rPr>
              <w:t>ve</w:t>
            </w:r>
            <w:r w:rsidRPr="00D32CF0">
              <w:rPr>
                <w:rFonts w:cs="Arial"/>
                <w:lang w:eastAsia="en-GB"/>
              </w:rPr>
              <w:t xml:space="preserve"> been satisfactorily addressed</w:t>
            </w:r>
          </w:p>
        </w:tc>
      </w:tr>
    </w:tbl>
    <w:p w14:paraId="06A217E5" w14:textId="77777777" w:rsidR="000B15E1" w:rsidRPr="001F6DE3" w:rsidRDefault="000B15E1" w:rsidP="000B15E1">
      <w:pPr>
        <w:keepLines/>
        <w:spacing w:after="0" w:line="240" w:lineRule="auto"/>
        <w:jc w:val="both"/>
      </w:pPr>
    </w:p>
    <w:p w14:paraId="79B508E7" w14:textId="525A2912" w:rsidR="00542411" w:rsidRPr="00542411" w:rsidRDefault="005C582D" w:rsidP="00542411">
      <w:pPr>
        <w:keepLines/>
        <w:shd w:val="clear" w:color="auto" w:fill="F2F2F2" w:themeFill="background1" w:themeFillShade="F2"/>
        <w:jc w:val="both"/>
      </w:pPr>
      <w:r w:rsidRPr="008E75FE">
        <w:t>The present document adheres to the European Standards and Guidelines, in particular Standard</w:t>
      </w:r>
      <w:r w:rsidR="004D00ED" w:rsidRPr="008E75FE">
        <w:t xml:space="preserve">s </w:t>
      </w:r>
      <w:r w:rsidRPr="008E75FE">
        <w:t>2.3 (Implementing Processes)</w:t>
      </w:r>
      <w:r w:rsidR="00B07B36" w:rsidRPr="008E75FE">
        <w:t xml:space="preserve"> </w:t>
      </w:r>
      <w:r w:rsidRPr="008E75FE">
        <w:t>and its guidelines, which provide that “</w:t>
      </w:r>
      <w:r w:rsidRPr="008E75FE">
        <w:rPr>
          <w:i/>
        </w:rPr>
        <w:t>Agencies have a consistent follow-up process for considering the action taken by the institution</w:t>
      </w:r>
      <w:r w:rsidRPr="008E75FE">
        <w:t>”</w:t>
      </w:r>
      <w:r w:rsidR="00F145B3" w:rsidRPr="008E75FE">
        <w:t>.</w:t>
      </w:r>
      <w:bookmarkStart w:id="0" w:name="_GoBack"/>
      <w:bookmarkEnd w:id="0"/>
      <w:r w:rsidR="00542411" w:rsidRPr="00542411">
        <w:rPr>
          <w:rFonts w:cs="Arial"/>
          <w:color w:val="000000"/>
          <w:szCs w:val="24"/>
        </w:rPr>
        <w:t xml:space="preserve"> </w:t>
      </w:r>
    </w:p>
    <w:sectPr w:rsidR="00542411" w:rsidRPr="00542411" w:rsidSect="00B56552">
      <w:headerReference w:type="default" r:id="rId8"/>
      <w:footerReference w:type="default" r:id="rId9"/>
      <w:pgSz w:w="16838" w:h="11906" w:orient="landscape"/>
      <w:pgMar w:top="1080" w:right="1440" w:bottom="1080" w:left="1440" w:header="708" w:footer="26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61B5E" w14:textId="77777777" w:rsidR="0039109A" w:rsidRDefault="0039109A" w:rsidP="00B060E1">
      <w:pPr>
        <w:spacing w:after="0" w:line="240" w:lineRule="auto"/>
      </w:pPr>
      <w:r>
        <w:separator/>
      </w:r>
    </w:p>
  </w:endnote>
  <w:endnote w:type="continuationSeparator" w:id="0">
    <w:p w14:paraId="7AFABF98" w14:textId="77777777" w:rsidR="0039109A" w:rsidRDefault="0039109A" w:rsidP="00B06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10022FF" w:usb1="C000E47F" w:usb2="00000029" w:usb3="00000000" w:csb0="000001D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9D0F7" w14:textId="4FDB1F29" w:rsidR="00B060E1" w:rsidRDefault="00B060E1" w:rsidP="00A40F0B">
    <w:pPr>
      <w:pStyle w:val="Footer"/>
      <w:tabs>
        <w:tab w:val="clear" w:pos="8306"/>
        <w:tab w:val="right" w:pos="13608"/>
      </w:tabs>
    </w:pPr>
    <w:r>
      <w:rPr>
        <w:noProof/>
        <w:lang w:eastAsia="en-GB"/>
      </w:rPr>
      <w:drawing>
        <wp:inline distT="0" distB="0" distL="0" distR="0" wp14:anchorId="7697F645" wp14:editId="3ECFA396">
          <wp:extent cx="5301762" cy="5238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oter.png"/>
                  <pic:cNvPicPr/>
                </pic:nvPicPr>
                <pic:blipFill rotWithShape="1">
                  <a:blip r:embed="rId1">
                    <a:extLst>
                      <a:ext uri="{28A0092B-C50C-407E-A947-70E740481C1C}">
                        <a14:useLocalDpi xmlns:a14="http://schemas.microsoft.com/office/drawing/2010/main" val="0"/>
                      </a:ext>
                    </a:extLst>
                  </a:blip>
                  <a:srcRect r="14332"/>
                  <a:stretch/>
                </pic:blipFill>
                <pic:spPr bwMode="auto">
                  <a:xfrm>
                    <a:off x="0" y="0"/>
                    <a:ext cx="5301762" cy="523875"/>
                  </a:xfrm>
                  <a:prstGeom prst="rect">
                    <a:avLst/>
                  </a:prstGeom>
                  <a:ln>
                    <a:noFill/>
                  </a:ln>
                  <a:extLst>
                    <a:ext uri="{53640926-AAD7-44D8-BBD7-CCE9431645EC}">
                      <a14:shadowObscured xmlns:a14="http://schemas.microsoft.com/office/drawing/2010/main"/>
                    </a:ext>
                  </a:extLst>
                </pic:spPr>
              </pic:pic>
            </a:graphicData>
          </a:graphic>
        </wp:inline>
      </w:drawing>
    </w:r>
    <w:r w:rsidR="00B32B1F">
      <w:t xml:space="preserve"> </w:t>
    </w:r>
    <w:r w:rsidR="00B32B1F">
      <w:tab/>
    </w:r>
    <w:r w:rsidR="00B32B1F">
      <w:fldChar w:fldCharType="begin"/>
    </w:r>
    <w:r w:rsidR="00B32B1F">
      <w:instrText xml:space="preserve"> PAGE  \* Arabic  \* MERGEFORMAT </w:instrText>
    </w:r>
    <w:r w:rsidR="00B32B1F">
      <w:fldChar w:fldCharType="separate"/>
    </w:r>
    <w:r w:rsidR="00542411">
      <w:rPr>
        <w:noProof/>
      </w:rPr>
      <w:t>11</w:t>
    </w:r>
    <w:r w:rsidR="00B32B1F">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DA70F" w14:textId="77777777" w:rsidR="0039109A" w:rsidRDefault="0039109A" w:rsidP="00B060E1">
      <w:pPr>
        <w:spacing w:after="0" w:line="240" w:lineRule="auto"/>
      </w:pPr>
      <w:r>
        <w:separator/>
      </w:r>
    </w:p>
  </w:footnote>
  <w:footnote w:type="continuationSeparator" w:id="0">
    <w:p w14:paraId="30ECA02D" w14:textId="77777777" w:rsidR="0039109A" w:rsidRDefault="0039109A" w:rsidP="00B060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BBFAA" w14:textId="77777777" w:rsidR="00B060E1" w:rsidRDefault="00B060E1" w:rsidP="00B060E1">
    <w:pPr>
      <w:pStyle w:val="Header"/>
      <w:jc w:val="center"/>
    </w:pPr>
    <w:r>
      <w:rPr>
        <w:noProof/>
        <w:lang w:eastAsia="en-GB"/>
      </w:rPr>
      <w:drawing>
        <wp:inline distT="0" distB="0" distL="0" distR="0" wp14:anchorId="686316CC" wp14:editId="3C6E82AD">
          <wp:extent cx="5133546" cy="974504"/>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ipaelogo.png"/>
                  <pic:cNvPicPr/>
                </pic:nvPicPr>
                <pic:blipFill>
                  <a:blip r:embed="rId1">
                    <a:extLst>
                      <a:ext uri="{28A0092B-C50C-407E-A947-70E740481C1C}">
                        <a14:useLocalDpi xmlns:a14="http://schemas.microsoft.com/office/drawing/2010/main" val="0"/>
                      </a:ext>
                    </a:extLst>
                  </a:blip>
                  <a:stretch>
                    <a:fillRect/>
                  </a:stretch>
                </pic:blipFill>
                <pic:spPr>
                  <a:xfrm>
                    <a:off x="0" y="0"/>
                    <a:ext cx="5350721" cy="1015731"/>
                  </a:xfrm>
                  <a:prstGeom prst="rect">
                    <a:avLst/>
                  </a:prstGeom>
                </pic:spPr>
              </pic:pic>
            </a:graphicData>
          </a:graphic>
        </wp:inline>
      </w:drawing>
    </w:r>
  </w:p>
  <w:p w14:paraId="7134B1E0" w14:textId="77777777" w:rsidR="007B0B0F" w:rsidRDefault="007B0B0F" w:rsidP="00B060E1">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61903"/>
    <w:multiLevelType w:val="hybridMultilevel"/>
    <w:tmpl w:val="8862A1C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F46FF8"/>
    <w:multiLevelType w:val="hybridMultilevel"/>
    <w:tmpl w:val="C172DC7C"/>
    <w:lvl w:ilvl="0" w:tplc="27A2DA6C">
      <w:start w:val="1"/>
      <w:numFmt w:val="lowerLetter"/>
      <w:lvlText w:val="(%1)"/>
      <w:lvlJc w:val="left"/>
      <w:pPr>
        <w:ind w:left="360" w:hanging="360"/>
      </w:pPr>
      <w:rPr>
        <w:rFonts w:hint="default"/>
        <w:color w:val="000000" w:themeColor="text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BD576E6"/>
    <w:multiLevelType w:val="hybridMultilevel"/>
    <w:tmpl w:val="698463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CAC1BE2"/>
    <w:multiLevelType w:val="hybridMultilevel"/>
    <w:tmpl w:val="3ADC5FD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C21046"/>
    <w:multiLevelType w:val="hybridMultilevel"/>
    <w:tmpl w:val="1A467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D2E6E40"/>
    <w:multiLevelType w:val="hybridMultilevel"/>
    <w:tmpl w:val="C8F63E4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EB4142"/>
    <w:multiLevelType w:val="hybridMultilevel"/>
    <w:tmpl w:val="937A4D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2C4594"/>
    <w:multiLevelType w:val="hybridMultilevel"/>
    <w:tmpl w:val="0DF003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2074DC8"/>
    <w:multiLevelType w:val="hybridMultilevel"/>
    <w:tmpl w:val="6D62DFB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6AA2A5D"/>
    <w:multiLevelType w:val="hybridMultilevel"/>
    <w:tmpl w:val="DC36BB2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96F5EE0"/>
    <w:multiLevelType w:val="hybridMultilevel"/>
    <w:tmpl w:val="1C042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3F2A46"/>
    <w:multiLevelType w:val="hybridMultilevel"/>
    <w:tmpl w:val="10B665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7F4185"/>
    <w:multiLevelType w:val="hybridMultilevel"/>
    <w:tmpl w:val="B53EA55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BB6314C"/>
    <w:multiLevelType w:val="hybridMultilevel"/>
    <w:tmpl w:val="FBC8E0C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7"/>
  </w:num>
  <w:num w:numId="3">
    <w:abstractNumId w:val="6"/>
  </w:num>
  <w:num w:numId="4">
    <w:abstractNumId w:val="2"/>
  </w:num>
  <w:num w:numId="5">
    <w:abstractNumId w:val="4"/>
  </w:num>
  <w:num w:numId="6">
    <w:abstractNumId w:val="9"/>
  </w:num>
  <w:num w:numId="7">
    <w:abstractNumId w:val="5"/>
  </w:num>
  <w:num w:numId="8">
    <w:abstractNumId w:val="3"/>
  </w:num>
  <w:num w:numId="9">
    <w:abstractNumId w:val="13"/>
  </w:num>
  <w:num w:numId="10">
    <w:abstractNumId w:val="0"/>
  </w:num>
  <w:num w:numId="11">
    <w:abstractNumId w:val="12"/>
  </w:num>
  <w:num w:numId="12">
    <w:abstractNumId w:val="10"/>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tDA1NbAwNTQ3MTA0MzFW0lEKTi0uzszPAymwrAUApZSUcSwAAAA="/>
  </w:docVars>
  <w:rsids>
    <w:rsidRoot w:val="00B060E1"/>
    <w:rsid w:val="0000346F"/>
    <w:rsid w:val="00036D20"/>
    <w:rsid w:val="00055A0B"/>
    <w:rsid w:val="0006491B"/>
    <w:rsid w:val="00071D5D"/>
    <w:rsid w:val="00073E4C"/>
    <w:rsid w:val="0009461A"/>
    <w:rsid w:val="000950E2"/>
    <w:rsid w:val="000B15E1"/>
    <w:rsid w:val="000C582A"/>
    <w:rsid w:val="000F35A8"/>
    <w:rsid w:val="0010098B"/>
    <w:rsid w:val="00143F8C"/>
    <w:rsid w:val="00146C2C"/>
    <w:rsid w:val="00151986"/>
    <w:rsid w:val="001B22F7"/>
    <w:rsid w:val="001D317D"/>
    <w:rsid w:val="001F5141"/>
    <w:rsid w:val="001F6DE3"/>
    <w:rsid w:val="00206A9D"/>
    <w:rsid w:val="00235D86"/>
    <w:rsid w:val="0024548F"/>
    <w:rsid w:val="00257F03"/>
    <w:rsid w:val="00263A2D"/>
    <w:rsid w:val="00286B82"/>
    <w:rsid w:val="002A17EA"/>
    <w:rsid w:val="002B2692"/>
    <w:rsid w:val="002B7F13"/>
    <w:rsid w:val="002C4295"/>
    <w:rsid w:val="002D25B4"/>
    <w:rsid w:val="002F0EEE"/>
    <w:rsid w:val="00306487"/>
    <w:rsid w:val="003358A5"/>
    <w:rsid w:val="00374054"/>
    <w:rsid w:val="0039109A"/>
    <w:rsid w:val="003D2554"/>
    <w:rsid w:val="003E0076"/>
    <w:rsid w:val="0040383D"/>
    <w:rsid w:val="004060A5"/>
    <w:rsid w:val="00424DF3"/>
    <w:rsid w:val="004341F3"/>
    <w:rsid w:val="00456C82"/>
    <w:rsid w:val="00483B05"/>
    <w:rsid w:val="004874E4"/>
    <w:rsid w:val="004A4D7A"/>
    <w:rsid w:val="004A4F89"/>
    <w:rsid w:val="004B1309"/>
    <w:rsid w:val="004D00ED"/>
    <w:rsid w:val="004E7665"/>
    <w:rsid w:val="004F01AD"/>
    <w:rsid w:val="00503B32"/>
    <w:rsid w:val="005073F0"/>
    <w:rsid w:val="00542411"/>
    <w:rsid w:val="005465B7"/>
    <w:rsid w:val="005663E9"/>
    <w:rsid w:val="00574FC8"/>
    <w:rsid w:val="00592577"/>
    <w:rsid w:val="00596187"/>
    <w:rsid w:val="005B76A9"/>
    <w:rsid w:val="005C582D"/>
    <w:rsid w:val="005D057F"/>
    <w:rsid w:val="005F0F6A"/>
    <w:rsid w:val="005F4664"/>
    <w:rsid w:val="006350F8"/>
    <w:rsid w:val="00665750"/>
    <w:rsid w:val="006731E9"/>
    <w:rsid w:val="00676E84"/>
    <w:rsid w:val="006825BF"/>
    <w:rsid w:val="006A6BAC"/>
    <w:rsid w:val="006E03F4"/>
    <w:rsid w:val="0070650D"/>
    <w:rsid w:val="00707273"/>
    <w:rsid w:val="00723144"/>
    <w:rsid w:val="007253BD"/>
    <w:rsid w:val="00727DBF"/>
    <w:rsid w:val="00770D5C"/>
    <w:rsid w:val="007818B2"/>
    <w:rsid w:val="0078588F"/>
    <w:rsid w:val="007952E0"/>
    <w:rsid w:val="007A3DDE"/>
    <w:rsid w:val="007A728F"/>
    <w:rsid w:val="007B0B0F"/>
    <w:rsid w:val="007B616F"/>
    <w:rsid w:val="007C57E8"/>
    <w:rsid w:val="007E5915"/>
    <w:rsid w:val="008267BB"/>
    <w:rsid w:val="0082773D"/>
    <w:rsid w:val="00834D9B"/>
    <w:rsid w:val="00854D0E"/>
    <w:rsid w:val="00861771"/>
    <w:rsid w:val="0086751C"/>
    <w:rsid w:val="008876F0"/>
    <w:rsid w:val="008A2A89"/>
    <w:rsid w:val="008A4E29"/>
    <w:rsid w:val="008A6610"/>
    <w:rsid w:val="008D3D2D"/>
    <w:rsid w:val="008E0A8D"/>
    <w:rsid w:val="008E75FE"/>
    <w:rsid w:val="008F1C2F"/>
    <w:rsid w:val="00903BD9"/>
    <w:rsid w:val="009061C7"/>
    <w:rsid w:val="00927122"/>
    <w:rsid w:val="009758F7"/>
    <w:rsid w:val="00975F35"/>
    <w:rsid w:val="00985AF0"/>
    <w:rsid w:val="009A2344"/>
    <w:rsid w:val="009C0053"/>
    <w:rsid w:val="009E0C25"/>
    <w:rsid w:val="00A174E9"/>
    <w:rsid w:val="00A217A3"/>
    <w:rsid w:val="00A35FC7"/>
    <w:rsid w:val="00A40F0B"/>
    <w:rsid w:val="00A41C35"/>
    <w:rsid w:val="00A42EA4"/>
    <w:rsid w:val="00A6295D"/>
    <w:rsid w:val="00AA4E59"/>
    <w:rsid w:val="00AD441F"/>
    <w:rsid w:val="00B060E1"/>
    <w:rsid w:val="00B07B36"/>
    <w:rsid w:val="00B32B1F"/>
    <w:rsid w:val="00B53DC0"/>
    <w:rsid w:val="00B561E7"/>
    <w:rsid w:val="00B56552"/>
    <w:rsid w:val="00B579D7"/>
    <w:rsid w:val="00B96CDD"/>
    <w:rsid w:val="00BB1A5D"/>
    <w:rsid w:val="00BB4C70"/>
    <w:rsid w:val="00BD6356"/>
    <w:rsid w:val="00BE7333"/>
    <w:rsid w:val="00BF575C"/>
    <w:rsid w:val="00C07833"/>
    <w:rsid w:val="00C22DF3"/>
    <w:rsid w:val="00C23030"/>
    <w:rsid w:val="00C412F6"/>
    <w:rsid w:val="00C536DD"/>
    <w:rsid w:val="00C83809"/>
    <w:rsid w:val="00C87C0B"/>
    <w:rsid w:val="00CE7684"/>
    <w:rsid w:val="00D13290"/>
    <w:rsid w:val="00D2700C"/>
    <w:rsid w:val="00D32CF0"/>
    <w:rsid w:val="00D457E2"/>
    <w:rsid w:val="00D462D2"/>
    <w:rsid w:val="00D55B7F"/>
    <w:rsid w:val="00D8195B"/>
    <w:rsid w:val="00D92E7C"/>
    <w:rsid w:val="00DC21FC"/>
    <w:rsid w:val="00DD24E4"/>
    <w:rsid w:val="00E14FAA"/>
    <w:rsid w:val="00E22E93"/>
    <w:rsid w:val="00E34323"/>
    <w:rsid w:val="00E51384"/>
    <w:rsid w:val="00E75C80"/>
    <w:rsid w:val="00E810A5"/>
    <w:rsid w:val="00E828FE"/>
    <w:rsid w:val="00E96CAB"/>
    <w:rsid w:val="00EA28A5"/>
    <w:rsid w:val="00EB4E1D"/>
    <w:rsid w:val="00EC4DD6"/>
    <w:rsid w:val="00EF54D3"/>
    <w:rsid w:val="00F02029"/>
    <w:rsid w:val="00F145B3"/>
    <w:rsid w:val="00F578A5"/>
    <w:rsid w:val="00F75777"/>
    <w:rsid w:val="00F76DFD"/>
    <w:rsid w:val="00FA1956"/>
    <w:rsid w:val="00FA4055"/>
    <w:rsid w:val="00FD23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EC38856"/>
  <w15:chartTrackingRefBased/>
  <w15:docId w15:val="{38A1272A-D8E4-429B-BB5D-5EFC0FE0A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60E1"/>
    <w:pPr>
      <w:tabs>
        <w:tab w:val="center" w:pos="4153"/>
        <w:tab w:val="right" w:pos="8306"/>
      </w:tabs>
      <w:spacing w:after="0" w:line="240" w:lineRule="auto"/>
    </w:pPr>
  </w:style>
  <w:style w:type="character" w:customStyle="1" w:styleId="HeaderChar">
    <w:name w:val="Header Char"/>
    <w:basedOn w:val="DefaultParagraphFont"/>
    <w:link w:val="Header"/>
    <w:uiPriority w:val="99"/>
    <w:rsid w:val="00B060E1"/>
  </w:style>
  <w:style w:type="paragraph" w:styleId="Footer">
    <w:name w:val="footer"/>
    <w:basedOn w:val="Normal"/>
    <w:link w:val="FooterChar"/>
    <w:uiPriority w:val="99"/>
    <w:unhideWhenUsed/>
    <w:rsid w:val="00B060E1"/>
    <w:pPr>
      <w:tabs>
        <w:tab w:val="center" w:pos="4153"/>
        <w:tab w:val="right" w:pos="8306"/>
      </w:tabs>
      <w:spacing w:after="0" w:line="240" w:lineRule="auto"/>
    </w:pPr>
  </w:style>
  <w:style w:type="character" w:customStyle="1" w:styleId="FooterChar">
    <w:name w:val="Footer Char"/>
    <w:basedOn w:val="DefaultParagraphFont"/>
    <w:link w:val="Footer"/>
    <w:uiPriority w:val="99"/>
    <w:rsid w:val="00B060E1"/>
  </w:style>
  <w:style w:type="table" w:styleId="TableGrid">
    <w:name w:val="Table Grid"/>
    <w:basedOn w:val="TableNormal"/>
    <w:uiPriority w:val="39"/>
    <w:rsid w:val="00E22E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22E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2E93"/>
    <w:rPr>
      <w:rFonts w:ascii="Segoe UI" w:hAnsi="Segoe UI" w:cs="Segoe UI"/>
      <w:sz w:val="18"/>
      <w:szCs w:val="18"/>
    </w:rPr>
  </w:style>
  <w:style w:type="paragraph" w:styleId="ListParagraph">
    <w:name w:val="List Paragraph"/>
    <w:basedOn w:val="Normal"/>
    <w:link w:val="ListParagraphChar"/>
    <w:uiPriority w:val="34"/>
    <w:qFormat/>
    <w:rsid w:val="00E22E93"/>
    <w:pPr>
      <w:ind w:left="720"/>
      <w:contextualSpacing/>
    </w:pPr>
  </w:style>
  <w:style w:type="character" w:customStyle="1" w:styleId="ListParagraphChar">
    <w:name w:val="List Paragraph Char"/>
    <w:basedOn w:val="DefaultParagraphFont"/>
    <w:link w:val="ListParagraph"/>
    <w:uiPriority w:val="99"/>
    <w:rsid w:val="007818B2"/>
  </w:style>
  <w:style w:type="character" w:styleId="PlaceholderText">
    <w:name w:val="Placeholder Text"/>
    <w:basedOn w:val="DefaultParagraphFont"/>
    <w:uiPriority w:val="99"/>
    <w:semiHidden/>
    <w:rsid w:val="00456C82"/>
    <w:rPr>
      <w:color w:val="808080"/>
    </w:rPr>
  </w:style>
  <w:style w:type="character" w:styleId="Hyperlink">
    <w:name w:val="Hyperlink"/>
    <w:basedOn w:val="DefaultParagraphFont"/>
    <w:uiPriority w:val="99"/>
    <w:unhideWhenUsed/>
    <w:rsid w:val="00727DBF"/>
    <w:rPr>
      <w:color w:val="0563C1" w:themeColor="hyperlink"/>
      <w:u w:val="single"/>
    </w:rPr>
  </w:style>
  <w:style w:type="character" w:styleId="CommentReference">
    <w:name w:val="annotation reference"/>
    <w:basedOn w:val="DefaultParagraphFont"/>
    <w:uiPriority w:val="99"/>
    <w:semiHidden/>
    <w:unhideWhenUsed/>
    <w:rsid w:val="007B0B0F"/>
    <w:rPr>
      <w:sz w:val="16"/>
      <w:szCs w:val="16"/>
    </w:rPr>
  </w:style>
  <w:style w:type="paragraph" w:styleId="CommentText">
    <w:name w:val="annotation text"/>
    <w:basedOn w:val="Normal"/>
    <w:link w:val="CommentTextChar"/>
    <w:uiPriority w:val="99"/>
    <w:semiHidden/>
    <w:unhideWhenUsed/>
    <w:rsid w:val="007B0B0F"/>
    <w:pPr>
      <w:spacing w:line="240" w:lineRule="auto"/>
    </w:pPr>
    <w:rPr>
      <w:sz w:val="20"/>
      <w:szCs w:val="20"/>
    </w:rPr>
  </w:style>
  <w:style w:type="character" w:customStyle="1" w:styleId="CommentTextChar">
    <w:name w:val="Comment Text Char"/>
    <w:basedOn w:val="DefaultParagraphFont"/>
    <w:link w:val="CommentText"/>
    <w:uiPriority w:val="99"/>
    <w:semiHidden/>
    <w:rsid w:val="007B0B0F"/>
    <w:rPr>
      <w:sz w:val="20"/>
      <w:szCs w:val="20"/>
    </w:rPr>
  </w:style>
  <w:style w:type="paragraph" w:styleId="CommentSubject">
    <w:name w:val="annotation subject"/>
    <w:basedOn w:val="CommentText"/>
    <w:next w:val="CommentText"/>
    <w:link w:val="CommentSubjectChar"/>
    <w:uiPriority w:val="99"/>
    <w:semiHidden/>
    <w:unhideWhenUsed/>
    <w:rsid w:val="007B0B0F"/>
    <w:rPr>
      <w:b/>
      <w:bCs/>
    </w:rPr>
  </w:style>
  <w:style w:type="character" w:customStyle="1" w:styleId="CommentSubjectChar">
    <w:name w:val="Comment Subject Char"/>
    <w:basedOn w:val="CommentTextChar"/>
    <w:link w:val="CommentSubject"/>
    <w:uiPriority w:val="99"/>
    <w:semiHidden/>
    <w:rsid w:val="007B0B0F"/>
    <w:rPr>
      <w:b/>
      <w:bCs/>
      <w:sz w:val="20"/>
      <w:szCs w:val="20"/>
    </w:rPr>
  </w:style>
  <w:style w:type="paragraph" w:customStyle="1" w:styleId="Default">
    <w:name w:val="Default"/>
    <w:rsid w:val="00D32CF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63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A1E60E7F559431091A2EDD59AEB60EA"/>
        <w:category>
          <w:name w:val="General"/>
          <w:gallery w:val="placeholder"/>
        </w:category>
        <w:types>
          <w:type w:val="bbPlcHdr"/>
        </w:types>
        <w:behaviors>
          <w:behavior w:val="content"/>
        </w:behaviors>
        <w:guid w:val="{603B014C-EEAC-4B53-A9E3-095E111B69DC}"/>
      </w:docPartPr>
      <w:docPartBody>
        <w:p w:rsidR="00D5355E" w:rsidRDefault="00587061" w:rsidP="00587061">
          <w:pPr>
            <w:pStyle w:val="0A1E60E7F559431091A2EDD59AEB60EA"/>
          </w:pPr>
          <w:r w:rsidRPr="00835FE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10022FF" w:usb1="C000E47F" w:usb2="00000029" w:usb3="00000000" w:csb0="000001D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061"/>
    <w:rsid w:val="00001452"/>
    <w:rsid w:val="00102D2B"/>
    <w:rsid w:val="001A2BF4"/>
    <w:rsid w:val="00587061"/>
    <w:rsid w:val="005E1F4B"/>
    <w:rsid w:val="005E7094"/>
    <w:rsid w:val="00631885"/>
    <w:rsid w:val="006D3CEB"/>
    <w:rsid w:val="00793C20"/>
    <w:rsid w:val="00957346"/>
    <w:rsid w:val="00A30BE1"/>
    <w:rsid w:val="00AF3C2E"/>
    <w:rsid w:val="00BA48ED"/>
    <w:rsid w:val="00C22406"/>
    <w:rsid w:val="00CC35C0"/>
    <w:rsid w:val="00D5355E"/>
    <w:rsid w:val="00F62C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2D2B"/>
  </w:style>
  <w:style w:type="paragraph" w:customStyle="1" w:styleId="0A1E60E7F559431091A2EDD59AEB60EA">
    <w:name w:val="0A1E60E7F559431091A2EDD59AEB60EA"/>
    <w:rsid w:val="00587061"/>
    <w:rPr>
      <w:rFonts w:eastAsiaTheme="minorHAnsi"/>
      <w:lang w:eastAsia="en-US"/>
    </w:rPr>
  </w:style>
  <w:style w:type="paragraph" w:customStyle="1" w:styleId="6F13A4CA895348E4B2073487D281A6D1">
    <w:name w:val="6F13A4CA895348E4B2073487D281A6D1"/>
    <w:rsid w:val="005E7094"/>
    <w:rPr>
      <w:lang w:val="el-GR" w:eastAsia="el-GR"/>
    </w:rPr>
  </w:style>
  <w:style w:type="paragraph" w:customStyle="1" w:styleId="E01ED4A2D72D4B17915ABA749BF8CAF8">
    <w:name w:val="E01ED4A2D72D4B17915ABA749BF8CAF8"/>
    <w:rsid w:val="005E7094"/>
    <w:rPr>
      <w:lang w:val="el-GR" w:eastAsia="el-GR"/>
    </w:rPr>
  </w:style>
  <w:style w:type="paragraph" w:customStyle="1" w:styleId="C67F809C89144B2CB01BC4B8FAAB0390">
    <w:name w:val="C67F809C89144B2CB01BC4B8FAAB0390"/>
    <w:rsid w:val="00102D2B"/>
  </w:style>
  <w:style w:type="paragraph" w:customStyle="1" w:styleId="4689846C49CC4E5EBB55076C04B4ACB6">
    <w:name w:val="4689846C49CC4E5EBB55076C04B4ACB6"/>
    <w:rsid w:val="00102D2B"/>
  </w:style>
  <w:style w:type="paragraph" w:customStyle="1" w:styleId="7392B8E7950E494F9BF94FBD1CD9AAC6">
    <w:name w:val="7392B8E7950E494F9BF94FBD1CD9AAC6"/>
    <w:rsid w:val="00102D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72238-8D08-4024-A1C9-ACFD9F544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11</Pages>
  <Words>3211</Words>
  <Characters>18307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CYQAA-DIPAE</dc:creator>
  <cp:keywords/>
  <dc:description/>
  <cp:lastModifiedBy>Andreas Petasis</cp:lastModifiedBy>
  <cp:revision>90</cp:revision>
  <cp:lastPrinted>2022-06-08T09:11:00Z</cp:lastPrinted>
  <dcterms:created xsi:type="dcterms:W3CDTF">2022-05-20T13:52:00Z</dcterms:created>
  <dcterms:modified xsi:type="dcterms:W3CDTF">2022-06-08T09:11:00Z</dcterms:modified>
</cp:coreProperties>
</file>