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CA4809" w14:textId="77777777" w:rsidR="00E50A74" w:rsidRPr="00296DA9" w:rsidRDefault="00E50A74" w:rsidP="00E50A74">
      <w:pPr>
        <w:pStyle w:val="TOCHeading"/>
        <w:rPr>
          <w:lang w:val="el-GR"/>
        </w:rPr>
      </w:pPr>
      <w:r>
        <w:rPr>
          <w:lang w:val="el-GR"/>
        </w:rPr>
        <w:t xml:space="preserve">NOM </w:t>
      </w:r>
      <w:r w:rsidRPr="000A367D">
        <w:rPr>
          <w:lang w:val="el-GR"/>
        </w:rPr>
        <w:t>53</w:t>
      </w:r>
      <w:r>
        <w:rPr>
          <w:lang w:val="el-GR"/>
        </w:rPr>
        <w:t>1</w:t>
      </w:r>
      <w:r w:rsidRPr="00296DA9">
        <w:rPr>
          <w:lang w:val="el-GR"/>
        </w:rPr>
        <w:t xml:space="preserve"> Ευρωπαϊκό </w:t>
      </w:r>
      <w:r>
        <w:rPr>
          <w:lang w:val="el-GR"/>
        </w:rPr>
        <w:t>δημοσιο</w:t>
      </w:r>
      <w:r w:rsidRPr="00296DA9">
        <w:rPr>
          <w:lang w:val="el-GR"/>
        </w:rPr>
        <w:t xml:space="preserve"> Δίκαιο</w:t>
      </w:r>
    </w:p>
    <w:tbl>
      <w:tblPr>
        <w:tblStyle w:val="PlainTable1"/>
        <w:tblW w:w="8963" w:type="dxa"/>
        <w:tblLayout w:type="fixed"/>
        <w:tblLook w:val="04A0" w:firstRow="1" w:lastRow="0" w:firstColumn="1" w:lastColumn="0" w:noHBand="0" w:noVBand="1"/>
      </w:tblPr>
      <w:tblGrid>
        <w:gridCol w:w="1980"/>
        <w:gridCol w:w="1134"/>
        <w:gridCol w:w="1417"/>
        <w:gridCol w:w="1701"/>
        <w:gridCol w:w="426"/>
        <w:gridCol w:w="992"/>
        <w:gridCol w:w="1313"/>
      </w:tblGrid>
      <w:tr w:rsidR="00E50A74" w:rsidRPr="00296DA9" w14:paraId="5F8156CC" w14:textId="77777777" w:rsidTr="004B0C3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93A5D35"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6"/>
            <w:noWrap/>
          </w:tcPr>
          <w:p w14:paraId="3F168F39" w14:textId="77777777" w:rsidR="00E50A74" w:rsidRPr="00296DA9" w:rsidRDefault="00E50A74" w:rsidP="004B0C30">
            <w:pPr>
              <w:spacing w:before="120" w:after="120"/>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Κατεύθυνσης</w:t>
            </w:r>
          </w:p>
        </w:tc>
      </w:tr>
      <w:tr w:rsidR="00E50A74" w:rsidRPr="00296DA9" w14:paraId="57822F61"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FEBA8D2"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6"/>
            <w:noWrap/>
          </w:tcPr>
          <w:p w14:paraId="0EB882E4" w14:textId="77777777" w:rsidR="00E50A74" w:rsidRPr="00296DA9" w:rsidRDefault="00E50A74"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E50A74" w:rsidRPr="00296DA9" w14:paraId="56CF2393"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860922D"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Έτος/ Εξάμηνο φοίτησης</w:t>
            </w:r>
          </w:p>
        </w:tc>
        <w:tc>
          <w:tcPr>
            <w:tcW w:w="6983" w:type="dxa"/>
            <w:gridSpan w:val="6"/>
            <w:noWrap/>
          </w:tcPr>
          <w:p w14:paraId="6BD49E70" w14:textId="77777777" w:rsidR="00E50A74" w:rsidRPr="00296DA9" w:rsidRDefault="00E50A74"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Πρώτο Εξάμηνο</w:t>
            </w:r>
          </w:p>
        </w:tc>
      </w:tr>
      <w:tr w:rsidR="00E50A74" w:rsidRPr="00296DA9" w14:paraId="48C3F76F" w14:textId="77777777" w:rsidTr="004B0C3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6394A607"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6"/>
            <w:noWrap/>
          </w:tcPr>
          <w:p w14:paraId="58B23C66" w14:textId="77777777" w:rsidR="00E50A74" w:rsidRPr="00296DA9" w:rsidRDefault="00E50A74"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Pr>
                <w:rFonts w:cs="Times New Roman"/>
                <w:sz w:val="24"/>
                <w:szCs w:val="24"/>
                <w:lang w:val="el-GR" w:eastAsia="en-GB"/>
              </w:rPr>
              <w:t>Κωνσταντίνος Κόμπος</w:t>
            </w:r>
            <w:r w:rsidRPr="00296DA9">
              <w:rPr>
                <w:rFonts w:cs="Times New Roman"/>
                <w:sz w:val="24"/>
                <w:szCs w:val="24"/>
                <w:lang w:val="el-GR" w:eastAsia="en-GB"/>
              </w:rPr>
              <w:t xml:space="preserve"> </w:t>
            </w:r>
          </w:p>
        </w:tc>
      </w:tr>
      <w:tr w:rsidR="00E50A74" w:rsidRPr="00296DA9" w14:paraId="355E8E57"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0F84A1F"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ECTS</w:t>
            </w:r>
          </w:p>
        </w:tc>
        <w:tc>
          <w:tcPr>
            <w:tcW w:w="1134" w:type="dxa"/>
          </w:tcPr>
          <w:p w14:paraId="70405735" w14:textId="77777777" w:rsidR="00E50A74" w:rsidRPr="00296DA9" w:rsidRDefault="00E50A74"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6F5E8530" w14:textId="77777777" w:rsidR="00E50A74" w:rsidRPr="00296DA9" w:rsidRDefault="00E50A74"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1701" w:type="dxa"/>
          </w:tcPr>
          <w:p w14:paraId="182862DF" w14:textId="77777777" w:rsidR="00E50A74" w:rsidRPr="00296DA9" w:rsidRDefault="00E50A74"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6065D628" w14:textId="77777777" w:rsidR="00E50A74" w:rsidRPr="00296DA9" w:rsidRDefault="00E50A74"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8" w:type="dxa"/>
            <w:gridSpan w:val="2"/>
          </w:tcPr>
          <w:p w14:paraId="3DD5B1DF" w14:textId="77777777" w:rsidR="00E50A74" w:rsidRPr="00296DA9" w:rsidRDefault="00E50A74"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1313" w:type="dxa"/>
          </w:tcPr>
          <w:p w14:paraId="4A157CB8" w14:textId="77777777" w:rsidR="00E50A74" w:rsidRPr="00296DA9" w:rsidRDefault="00E50A74"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E50A74" w:rsidRPr="00D1367E" w14:paraId="0BB10125"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7875DE0"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6"/>
            <w:noWrap/>
          </w:tcPr>
          <w:p w14:paraId="6F290BAD" w14:textId="77777777" w:rsidR="00E50A74" w:rsidRPr="000A367D" w:rsidRDefault="00E50A74" w:rsidP="004B0C30">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Στόχοι του μαθήματος είναι:</w:t>
            </w:r>
          </w:p>
          <w:p w14:paraId="14B1D99F" w14:textId="77777777" w:rsidR="00E50A74" w:rsidRPr="000A367D" w:rsidRDefault="00E50A74" w:rsidP="004B0C30">
            <w:pPr>
              <w:pStyle w:val="ListParagraph"/>
              <w:numPr>
                <w:ilvl w:val="0"/>
                <w:numId w:val="1"/>
              </w:numPr>
              <w:spacing w:before="120" w:after="120" w:line="240"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κατανόηση της αλληλοεπίδρασης μεταξύ εθνικού και υπερεθνικού  συνταγματικού δίκαιου</w:t>
            </w:r>
          </w:p>
          <w:p w14:paraId="05F6604A" w14:textId="77777777" w:rsidR="00E50A74" w:rsidRPr="000A367D" w:rsidRDefault="00E50A74" w:rsidP="004B0C30">
            <w:pPr>
              <w:pStyle w:val="ListParagraph"/>
              <w:numPr>
                <w:ilvl w:val="0"/>
                <w:numId w:val="1"/>
              </w:numPr>
              <w:spacing w:before="120" w:after="120" w:line="240"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εμπέδωση των μηχανισμών αλληλοεπίδρασης (συγκριτικό δίκαιο, δικαστικός διάλογος, κάθετες και οριζόντιες αρχές δομικής σχέσης)</w:t>
            </w:r>
          </w:p>
          <w:p w14:paraId="57D89AD9" w14:textId="77777777" w:rsidR="00E50A74" w:rsidRPr="000A367D" w:rsidRDefault="00E50A74" w:rsidP="004B0C30">
            <w:pPr>
              <w:pStyle w:val="ListParagraph"/>
              <w:numPr>
                <w:ilvl w:val="0"/>
                <w:numId w:val="1"/>
              </w:numPr>
              <w:spacing w:before="120" w:after="120" w:line="240"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H κατανόηση της ολοένα αυξανόμενης σημασίας της συνταγματικής αλληλεξάρτησης, του συνταγματικού πλουραλισμού και των θεωρητικών προσεγγίσεων που εστιάζουν θετικά ή αρνητικά σε αυτές</w:t>
            </w:r>
          </w:p>
          <w:p w14:paraId="2BB957DE" w14:textId="77777777" w:rsidR="00E50A74" w:rsidRPr="000A367D" w:rsidRDefault="00E50A74" w:rsidP="004B0C30">
            <w:pPr>
              <w:pStyle w:val="ListParagraph"/>
              <w:numPr>
                <w:ilvl w:val="0"/>
                <w:numId w:val="1"/>
              </w:numPr>
              <w:spacing w:before="120" w:after="120" w:line="240"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ανάπτυξη και η κριτική προσέγγιση ως προς τις συνταγματικές ιδιότητες της ΕΕ και τα διαδικαστικά μέσα που επιτρέπουν τη συνεργασία μεταξύ των εννόμων τάξεων (αρχές της υπεροχής, άμεσο αποτέλεσμα, έμμεσο αποτέλεσμα, την ευθύνη του κράτους για αποζημίωση, την προστασία των ανθρωπίνων δικαιωμάτων, προδικαστική παραπομπή), καθώς και η υποδοχή από τις εθνικές έννομες τάξεις</w:t>
            </w:r>
          </w:p>
          <w:p w14:paraId="006C9BBF" w14:textId="77777777" w:rsidR="00E50A74" w:rsidRPr="000A367D" w:rsidRDefault="00E50A74" w:rsidP="004B0C30">
            <w:pPr>
              <w:pStyle w:val="ListParagraph"/>
              <w:numPr>
                <w:ilvl w:val="0"/>
                <w:numId w:val="1"/>
              </w:numPr>
              <w:spacing w:before="120" w:after="120" w:line="240"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εισαγωγή στην έννοια του ΕΔΔ ως θεωρητικό εργαλείο εξήγησης της σχέσης μεταξύ των νομικών συστημάτων της ΕΕ, της ΕΣΔΑ και των εθνικών εννόμων τάξεων και η κατανόηση της ιστορικής και θεωρητικής του βάσης και της εξελικτικής διαδικασίας ολοκλήρωσης του</w:t>
            </w:r>
          </w:p>
          <w:p w14:paraId="619F956C" w14:textId="77777777" w:rsidR="00E50A74" w:rsidRPr="000A367D" w:rsidRDefault="00E50A74" w:rsidP="004B0C30">
            <w:pPr>
              <w:pStyle w:val="ListParagraph"/>
              <w:numPr>
                <w:ilvl w:val="0"/>
                <w:numId w:val="1"/>
              </w:numPr>
              <w:spacing w:before="120" w:after="120" w:line="240"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κριτική προσέγγιση ως προς τις αντιδράσεις των εθνικών συνταγματικών δικαστηρίων στην εφαρμογή συνταγματικών αρχών που προέρχονται από άλλα νομικά συστήματα</w:t>
            </w:r>
          </w:p>
          <w:p w14:paraId="4234426D" w14:textId="77777777" w:rsidR="00E50A74" w:rsidRPr="000A367D" w:rsidRDefault="00E50A74" w:rsidP="004B0C30">
            <w:pPr>
              <w:pStyle w:val="ListParagraph"/>
              <w:numPr>
                <w:ilvl w:val="0"/>
                <w:numId w:val="1"/>
              </w:numPr>
              <w:spacing w:before="120" w:after="120" w:line="240"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lastRenderedPageBreak/>
              <w:t xml:space="preserve">Η πλήρης αντίληψη της διαφορετικής φύσης της επιβολής μια νομικής αρχής και της σταδιακής ενσωμάτωσης δια της δικαστικής ερμηνείας </w:t>
            </w:r>
          </w:p>
          <w:p w14:paraId="69E52E01" w14:textId="77777777" w:rsidR="00E50A74" w:rsidRPr="000A367D" w:rsidRDefault="00E50A74" w:rsidP="004B0C30">
            <w:pPr>
              <w:pStyle w:val="ListParagraph"/>
              <w:numPr>
                <w:ilvl w:val="0"/>
                <w:numId w:val="1"/>
              </w:numPr>
              <w:spacing w:before="120" w:after="120" w:line="240"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κατανόηση της σταδιακής ανάπτυξης συστήματος προστασίας των ανθρωπίνων δικαιωμάτων σε νομολογιακό και κανονιστικό επίπεδο και η κριτική στάση ως προς την ποιότητα προστασίας και τα κίνητρα του ΔΕΕ, του ΕΔΑΔ και των εθνικών δικαστηρίων</w:t>
            </w:r>
          </w:p>
          <w:p w14:paraId="1822D779" w14:textId="77777777" w:rsidR="00E50A74" w:rsidRPr="000A367D" w:rsidRDefault="00E50A74" w:rsidP="004B0C30">
            <w:pPr>
              <w:pStyle w:val="ListParagraph"/>
              <w:numPr>
                <w:ilvl w:val="0"/>
                <w:numId w:val="1"/>
              </w:numPr>
              <w:spacing w:before="120" w:after="120" w:line="240" w:lineRule="auto"/>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0A367D">
              <w:rPr>
                <w:rFonts w:cs="Times New Roman"/>
                <w:sz w:val="24"/>
                <w:szCs w:val="24"/>
                <w:lang w:val="el-GR"/>
              </w:rPr>
              <w:t>Η υιοθέτηση κριτικής στάσης ως προς τις δυσκολίες ομοιόμορφης εφαρμογής του δικαίου και της σημασίας της σύγκλισης και της απόκλισης ως παράγοντες έκφρασης ελεγχόμενης διαφωνίας.</w:t>
            </w:r>
          </w:p>
        </w:tc>
      </w:tr>
      <w:tr w:rsidR="00E50A74" w:rsidRPr="00D1367E" w14:paraId="56DC76F3" w14:textId="77777777" w:rsidTr="004B0C30">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2085A729"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lastRenderedPageBreak/>
              <w:t>Μαθησιακά Αποτελέσματα</w:t>
            </w:r>
          </w:p>
        </w:tc>
        <w:tc>
          <w:tcPr>
            <w:tcW w:w="6983" w:type="dxa"/>
            <w:gridSpan w:val="6"/>
            <w:noWrap/>
          </w:tcPr>
          <w:p w14:paraId="426A84A5"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bCs/>
                <w:i/>
                <w:sz w:val="24"/>
                <w:szCs w:val="24"/>
                <w:lang w:val="el-GR"/>
              </w:rPr>
            </w:pPr>
            <w:r w:rsidRPr="000A367D">
              <w:rPr>
                <w:rFonts w:cs="Arial"/>
                <w:bCs/>
                <w:i/>
                <w:sz w:val="24"/>
                <w:szCs w:val="24"/>
                <w:lang w:val="el-GR"/>
              </w:rPr>
              <w:t>Γνωστικό Αποτέλεσμα</w:t>
            </w:r>
          </w:p>
          <w:p w14:paraId="0B6F82FD"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bCs/>
                <w:sz w:val="24"/>
                <w:szCs w:val="24"/>
                <w:lang w:val="el-GR"/>
              </w:rPr>
            </w:pPr>
            <w:r w:rsidRPr="000A367D">
              <w:rPr>
                <w:rFonts w:cs="Arial"/>
                <w:bCs/>
                <w:sz w:val="24"/>
                <w:szCs w:val="24"/>
                <w:lang w:val="el-GR"/>
              </w:rPr>
              <w:t>Ο φοιτητής πρέπει να μπορεί να παρουσιάσει μια γενικά ακριβή αντίληψη των αξιών, αρχών, διαδικασιών και κανόνων δικαίου του νομικού συστήματος της Ε.Ε., της ΕΣΔΑ και συγκεκριμένων εθνικών εννόμων τάξεων καθώς και μια ολοκληρωμένη αντίληψη της φύσης και λειτουργίας της διαδικασίας του ΕΔΔ. Επιπλέον, αναμένεται από τον φοιτητή να μπορεί να δείξει μια βασική κατανόηση της σχέσης μεταξύ των προαναφερθέντων ζητούμενων και των προβλημάτων που υπάρχουν, ειδικά σε σχέση με τα εθνικά συστήματα και ειδικά ζήτημα που επηρεάζουν τη συνταγματική ταυτότητα.</w:t>
            </w:r>
            <w:bookmarkStart w:id="0" w:name="_Toc51054361"/>
          </w:p>
          <w:p w14:paraId="5000DD9B"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i/>
                <w:sz w:val="24"/>
                <w:szCs w:val="24"/>
                <w:lang w:val="el-GR"/>
              </w:rPr>
            </w:pPr>
            <w:r w:rsidRPr="000A367D">
              <w:rPr>
                <w:rFonts w:cs="Arial"/>
                <w:i/>
                <w:sz w:val="24"/>
                <w:szCs w:val="24"/>
                <w:lang w:val="el-GR"/>
              </w:rPr>
              <w:t>Εφαρμογή</w:t>
            </w:r>
          </w:p>
          <w:p w14:paraId="4C4257E7"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bCs/>
                <w:sz w:val="24"/>
                <w:szCs w:val="24"/>
                <w:lang w:val="el-GR"/>
              </w:rPr>
              <w:t>Ο φοιτητής πρέπει να μπορεί να παρουσιάσει μια ακριβή αντίληψη των νομικών θεωριών και αρχών που αποτελούν τις θεμελιακές προτάσεις-πλαίσιο για το ΕΔΔ</w:t>
            </w:r>
            <w:r w:rsidRPr="000A367D">
              <w:rPr>
                <w:rFonts w:cs="Arial"/>
                <w:sz w:val="24"/>
                <w:szCs w:val="24"/>
                <w:lang w:val="el-GR"/>
              </w:rPr>
              <w:t xml:space="preserve">. Επίσης, αναμένεται από τον σπουδαστή να εφαρμόσει αυτή την γνώση σε συγκεκριμένα νομικά προβλήματα θεωρητικής και πρακτικής φύσεως.  </w:t>
            </w:r>
            <w:bookmarkEnd w:id="0"/>
          </w:p>
          <w:p w14:paraId="28331588"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bCs/>
                <w:i/>
                <w:sz w:val="24"/>
                <w:szCs w:val="24"/>
                <w:lang w:val="el-GR"/>
              </w:rPr>
            </w:pPr>
            <w:r w:rsidRPr="000A367D">
              <w:rPr>
                <w:rFonts w:cs="Arial"/>
                <w:bCs/>
                <w:i/>
                <w:sz w:val="24"/>
                <w:szCs w:val="24"/>
                <w:lang w:val="el-GR"/>
              </w:rPr>
              <w:t>Αναλυτική Σκέψη</w:t>
            </w:r>
          </w:p>
          <w:p w14:paraId="4ACDC95D"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bCs/>
                <w:sz w:val="24"/>
                <w:szCs w:val="24"/>
                <w:lang w:val="el-GR"/>
              </w:rPr>
            </w:pPr>
            <w:r w:rsidRPr="000A367D">
              <w:rPr>
                <w:rFonts w:cs="Arial"/>
                <w:bCs/>
                <w:sz w:val="24"/>
                <w:szCs w:val="24"/>
                <w:lang w:val="el-GR"/>
              </w:rPr>
              <w:t xml:space="preserve">Ο φοιτητής πρέπει να μπορεί να αναγνωρίσει και να εξηγήσει συγκρουόμενες θεωρητικές προσεγγίσεις που σχετίζονται με τη δημιουργία, μορφολογία και  εξέλιξη κανόνων και νομολογικών επιλογών. Βασική προϋπόθεση είναι η ικανότητα μελέτης, κατανόησης και σύγκρισης διαφόρων πηγών και η εφαρμογή σύνθετης σκέψης.  Η απλή αναπαραγωγή επιχειρημάτων και η εφαρμογή μεθοδολογίας αποστήθισης  δεν ενδείκνυται.  </w:t>
            </w:r>
          </w:p>
          <w:p w14:paraId="53B2CF26" w14:textId="77777777" w:rsidR="00E50A74" w:rsidRPr="002E1D70"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bCs/>
                <w:i/>
                <w:sz w:val="24"/>
                <w:szCs w:val="24"/>
                <w:lang w:val="el-GR"/>
              </w:rPr>
            </w:pPr>
            <w:r w:rsidRPr="002E1D70">
              <w:rPr>
                <w:rFonts w:cs="Arial"/>
                <w:bCs/>
                <w:i/>
                <w:sz w:val="24"/>
                <w:szCs w:val="24"/>
                <w:lang w:val="el-GR"/>
              </w:rPr>
              <w:t>Έρευνα και Αυτόνομη Μάθηση</w:t>
            </w:r>
          </w:p>
          <w:p w14:paraId="0DC1C0E5"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bCs/>
                <w:sz w:val="24"/>
                <w:szCs w:val="24"/>
                <w:lang w:val="el-GR"/>
              </w:rPr>
            </w:pPr>
            <w:r w:rsidRPr="000A367D">
              <w:rPr>
                <w:rFonts w:cs="Arial"/>
                <w:bCs/>
                <w:sz w:val="24"/>
                <w:szCs w:val="24"/>
                <w:lang w:val="el-GR"/>
              </w:rPr>
              <w:t xml:space="preserve">Ο φοιτητής πρέπει να μπορεί να χρησιμοποιήσει βασικές πρωτεύουσες (όπως Συλλογή αποφάσεων του ΔΕΕ και του Γενικού Δικαστηρίου της ΕΕ και νομοθετικές πράξεις-κείμενα)  και δευτερεύουσες πηγές (όπως </w:t>
            </w:r>
            <w:r w:rsidRPr="000A367D">
              <w:rPr>
                <w:rFonts w:cs="Arial"/>
                <w:sz w:val="24"/>
                <w:szCs w:val="24"/>
                <w:lang w:val="en-GB"/>
              </w:rPr>
              <w:t>the</w:t>
            </w:r>
            <w:r w:rsidRPr="000A367D">
              <w:rPr>
                <w:rFonts w:cs="Arial"/>
                <w:sz w:val="24"/>
                <w:szCs w:val="24"/>
                <w:lang w:val="el-GR"/>
              </w:rPr>
              <w:t xml:space="preserve"> </w:t>
            </w:r>
            <w:r w:rsidRPr="000A367D">
              <w:rPr>
                <w:rFonts w:cs="Arial"/>
                <w:sz w:val="24"/>
                <w:szCs w:val="24"/>
                <w:lang w:val="en-GB"/>
              </w:rPr>
              <w:t>European</w:t>
            </w:r>
            <w:r w:rsidRPr="000A367D">
              <w:rPr>
                <w:rFonts w:cs="Arial"/>
                <w:sz w:val="24"/>
                <w:szCs w:val="24"/>
                <w:lang w:val="el-GR"/>
              </w:rPr>
              <w:t xml:space="preserve"> </w:t>
            </w:r>
            <w:r w:rsidRPr="000A367D">
              <w:rPr>
                <w:rFonts w:cs="Arial"/>
                <w:sz w:val="24"/>
                <w:szCs w:val="24"/>
                <w:lang w:val="en-GB"/>
              </w:rPr>
              <w:t>Law</w:t>
            </w:r>
            <w:r w:rsidRPr="000A367D">
              <w:rPr>
                <w:rFonts w:cs="Arial"/>
                <w:sz w:val="24"/>
                <w:szCs w:val="24"/>
                <w:lang w:val="el-GR"/>
              </w:rPr>
              <w:t xml:space="preserve"> </w:t>
            </w:r>
            <w:r w:rsidRPr="000A367D">
              <w:rPr>
                <w:rFonts w:cs="Arial"/>
                <w:sz w:val="24"/>
                <w:szCs w:val="24"/>
                <w:lang w:val="en-GB"/>
              </w:rPr>
              <w:t>Review</w:t>
            </w:r>
            <w:r w:rsidRPr="000A367D">
              <w:rPr>
                <w:rFonts w:cs="Arial"/>
                <w:sz w:val="24"/>
                <w:szCs w:val="24"/>
                <w:lang w:val="el-GR"/>
              </w:rPr>
              <w:t xml:space="preserve">, </w:t>
            </w:r>
            <w:r w:rsidRPr="000A367D">
              <w:rPr>
                <w:rFonts w:cs="Arial"/>
                <w:sz w:val="24"/>
                <w:szCs w:val="24"/>
                <w:lang w:val="en-GB"/>
              </w:rPr>
              <w:t>the</w:t>
            </w:r>
            <w:r w:rsidRPr="000A367D">
              <w:rPr>
                <w:rFonts w:cs="Arial"/>
                <w:sz w:val="24"/>
                <w:szCs w:val="24"/>
                <w:lang w:val="el-GR"/>
              </w:rPr>
              <w:t xml:space="preserve"> </w:t>
            </w:r>
            <w:r w:rsidRPr="000A367D">
              <w:rPr>
                <w:rFonts w:cs="Arial"/>
                <w:sz w:val="24"/>
                <w:szCs w:val="24"/>
                <w:lang w:val="en-GB"/>
              </w:rPr>
              <w:t>Common</w:t>
            </w:r>
            <w:r w:rsidRPr="000A367D">
              <w:rPr>
                <w:rFonts w:cs="Arial"/>
                <w:sz w:val="24"/>
                <w:szCs w:val="24"/>
                <w:lang w:val="el-GR"/>
              </w:rPr>
              <w:t xml:space="preserve"> </w:t>
            </w:r>
            <w:r w:rsidRPr="000A367D">
              <w:rPr>
                <w:rFonts w:cs="Arial"/>
                <w:sz w:val="24"/>
                <w:szCs w:val="24"/>
                <w:lang w:val="en-GB"/>
              </w:rPr>
              <w:t>Market</w:t>
            </w:r>
            <w:r w:rsidRPr="000A367D">
              <w:rPr>
                <w:rFonts w:cs="Arial"/>
                <w:sz w:val="24"/>
                <w:szCs w:val="24"/>
                <w:lang w:val="el-GR"/>
              </w:rPr>
              <w:t xml:space="preserve"> </w:t>
            </w:r>
            <w:r w:rsidRPr="000A367D">
              <w:rPr>
                <w:rFonts w:cs="Arial"/>
                <w:sz w:val="24"/>
                <w:szCs w:val="24"/>
                <w:lang w:val="en-GB"/>
              </w:rPr>
              <w:t>Law</w:t>
            </w:r>
            <w:r w:rsidRPr="000A367D">
              <w:rPr>
                <w:rFonts w:cs="Arial"/>
                <w:sz w:val="24"/>
                <w:szCs w:val="24"/>
                <w:lang w:val="el-GR"/>
              </w:rPr>
              <w:t xml:space="preserve"> </w:t>
            </w:r>
            <w:r w:rsidRPr="000A367D">
              <w:rPr>
                <w:rFonts w:cs="Arial"/>
                <w:sz w:val="24"/>
                <w:szCs w:val="24"/>
                <w:lang w:val="en-GB"/>
              </w:rPr>
              <w:t>Review</w:t>
            </w:r>
            <w:r w:rsidRPr="000A367D">
              <w:rPr>
                <w:rFonts w:cs="Arial"/>
                <w:sz w:val="24"/>
                <w:szCs w:val="24"/>
                <w:lang w:val="el-GR"/>
              </w:rPr>
              <w:t xml:space="preserve">, </w:t>
            </w:r>
            <w:r w:rsidRPr="000A367D">
              <w:rPr>
                <w:rFonts w:cs="Arial"/>
                <w:sz w:val="24"/>
                <w:szCs w:val="24"/>
                <w:lang w:val="en-GB"/>
              </w:rPr>
              <w:t>the</w:t>
            </w:r>
            <w:r w:rsidRPr="000A367D">
              <w:rPr>
                <w:rFonts w:cs="Arial"/>
                <w:sz w:val="24"/>
                <w:szCs w:val="24"/>
                <w:lang w:val="el-GR"/>
              </w:rPr>
              <w:t xml:space="preserve"> </w:t>
            </w:r>
            <w:r w:rsidRPr="000A367D">
              <w:rPr>
                <w:rFonts w:cs="Arial"/>
                <w:sz w:val="24"/>
                <w:szCs w:val="24"/>
                <w:lang w:val="en-GB"/>
              </w:rPr>
              <w:t>European</w:t>
            </w:r>
            <w:r w:rsidRPr="000A367D">
              <w:rPr>
                <w:rFonts w:cs="Arial"/>
                <w:sz w:val="24"/>
                <w:szCs w:val="24"/>
                <w:lang w:val="el-GR"/>
              </w:rPr>
              <w:t xml:space="preserve"> </w:t>
            </w:r>
            <w:r w:rsidRPr="000A367D">
              <w:rPr>
                <w:rFonts w:cs="Arial"/>
                <w:sz w:val="24"/>
                <w:szCs w:val="24"/>
                <w:lang w:val="en-GB"/>
              </w:rPr>
              <w:t>Law</w:t>
            </w:r>
            <w:r w:rsidRPr="000A367D">
              <w:rPr>
                <w:rFonts w:cs="Arial"/>
                <w:sz w:val="24"/>
                <w:szCs w:val="24"/>
                <w:lang w:val="el-GR"/>
              </w:rPr>
              <w:t xml:space="preserve"> </w:t>
            </w:r>
            <w:r w:rsidRPr="000A367D">
              <w:rPr>
                <w:rFonts w:cs="Arial"/>
                <w:sz w:val="24"/>
                <w:szCs w:val="24"/>
                <w:lang w:val="en-GB"/>
              </w:rPr>
              <w:t>Journal</w:t>
            </w:r>
            <w:r w:rsidRPr="000A367D">
              <w:rPr>
                <w:rFonts w:cs="Arial"/>
                <w:sz w:val="24"/>
                <w:szCs w:val="24"/>
                <w:lang w:val="el-GR"/>
              </w:rPr>
              <w:t xml:space="preserve"> κτλ.) για να τεκμηριώσει και να εξηγήσει νομικά θέματα. Επιπλέον, αναμένεται από τον σπουδαστή να μπορεί να επιλέξει, να οργανώσει και να προγραμματίσει την περαιτέρω προαιρετική μελέτη, με βάση τις κατευθυντήριες γραμμές που θα παρέχονται. </w:t>
            </w:r>
          </w:p>
          <w:p w14:paraId="5D11CDBB"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i/>
                <w:sz w:val="24"/>
                <w:szCs w:val="24"/>
                <w:lang w:val="el-GR"/>
              </w:rPr>
            </w:pPr>
            <w:r w:rsidRPr="000A367D">
              <w:rPr>
                <w:rFonts w:cs="Arial"/>
                <w:i/>
                <w:sz w:val="24"/>
                <w:szCs w:val="24"/>
                <w:lang w:val="el-GR"/>
              </w:rPr>
              <w:t>Παρουσίαση και Επικοινωνία Επιχειρημάτων</w:t>
            </w:r>
          </w:p>
          <w:p w14:paraId="0F0E7626"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i/>
                <w:sz w:val="24"/>
                <w:szCs w:val="24"/>
                <w:lang w:val="el-GR"/>
              </w:rPr>
              <w:t xml:space="preserve"> </w:t>
            </w:r>
            <w:r w:rsidRPr="000A367D">
              <w:rPr>
                <w:rFonts w:cs="Arial"/>
                <w:bCs/>
                <w:sz w:val="24"/>
                <w:szCs w:val="24"/>
                <w:lang w:val="el-GR"/>
              </w:rPr>
              <w:t xml:space="preserve">Ο φοιτητής πρέπει να μπορεί να μελετήσει σύνθετα και μακροσκελή νομικά συγγράμματα και να αναπαράγει περιληπτικά και περιεκτικά τα επιχειρήματα τους. Η χρήση της ενδεδειγμένης νομικής ορολογίας είναι απαραίτητη καθώς και η αναφορά σε δικαστικές αποφάσεις, νομικές πράξεις και ακαδημαϊκές δημοσιεύσεις. </w:t>
            </w:r>
          </w:p>
          <w:p w14:paraId="38D742E8"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bCs/>
                <w:i/>
                <w:sz w:val="24"/>
                <w:szCs w:val="24"/>
                <w:lang w:val="el-GR"/>
              </w:rPr>
            </w:pPr>
            <w:bookmarkStart w:id="1" w:name="_Toc51054366"/>
            <w:r w:rsidRPr="000A367D">
              <w:rPr>
                <w:rFonts w:cs="Arial"/>
                <w:bCs/>
                <w:i/>
                <w:sz w:val="24"/>
                <w:szCs w:val="24"/>
                <w:lang w:val="el-GR"/>
              </w:rPr>
              <w:t>Άλλες Δεξιότητες</w:t>
            </w:r>
          </w:p>
          <w:p w14:paraId="352E937A" w14:textId="77777777" w:rsidR="00E50A74" w:rsidRPr="000A367D" w:rsidRDefault="00E50A74" w:rsidP="004B0C30">
            <w:p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0A367D">
              <w:rPr>
                <w:rFonts w:cs="Arial"/>
                <w:bCs/>
                <w:sz w:val="24"/>
                <w:szCs w:val="24"/>
                <w:lang w:val="el-GR"/>
              </w:rPr>
              <w:t xml:space="preserve">Ο φοιτητής πρέπει να μπορεί να </w:t>
            </w:r>
            <w:r w:rsidRPr="000A367D">
              <w:rPr>
                <w:rFonts w:cs="Arial"/>
                <w:bCs/>
                <w:i/>
                <w:sz w:val="24"/>
                <w:szCs w:val="24"/>
                <w:lang w:val="el-GR"/>
              </w:rPr>
              <w:t>εφαρμόσει</w:t>
            </w:r>
            <w:r w:rsidRPr="000A367D">
              <w:rPr>
                <w:rFonts w:cs="Arial"/>
                <w:b/>
                <w:bCs/>
                <w:i/>
                <w:sz w:val="24"/>
                <w:szCs w:val="24"/>
                <w:lang w:val="el-GR"/>
              </w:rPr>
              <w:t xml:space="preserve"> </w:t>
            </w:r>
            <w:r w:rsidRPr="000A367D">
              <w:rPr>
                <w:rFonts w:cs="Arial"/>
                <w:bCs/>
                <w:sz w:val="24"/>
                <w:szCs w:val="24"/>
                <w:lang w:val="el-GR"/>
              </w:rPr>
              <w:t>τις γνώσεις του στην απάντηση ερωτήσεων κατά τις γραπτές αξιολογήσεις.</w:t>
            </w:r>
            <w:bookmarkEnd w:id="1"/>
          </w:p>
        </w:tc>
      </w:tr>
      <w:tr w:rsidR="00E50A74" w:rsidRPr="00296DA9" w14:paraId="260D89B3" w14:textId="77777777" w:rsidTr="004B0C30">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62CC3AFE"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Προαπαιτούμενα</w:t>
            </w:r>
          </w:p>
        </w:tc>
        <w:tc>
          <w:tcPr>
            <w:tcW w:w="2551" w:type="dxa"/>
            <w:gridSpan w:val="2"/>
            <w:noWrap/>
          </w:tcPr>
          <w:p w14:paraId="4FFFFFA2" w14:textId="77777777" w:rsidR="00E50A74" w:rsidRPr="00296DA9" w:rsidRDefault="00E50A74"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2127" w:type="dxa"/>
            <w:gridSpan w:val="2"/>
          </w:tcPr>
          <w:p w14:paraId="2AFED021" w14:textId="77777777" w:rsidR="00E50A74" w:rsidRPr="00296DA9" w:rsidRDefault="00E50A74"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r>
              <w:rPr>
                <w:rFonts w:cs="Times New Roman"/>
                <w:b/>
                <w:sz w:val="24"/>
                <w:szCs w:val="24"/>
                <w:lang w:val="el-GR" w:eastAsia="en-GB"/>
              </w:rPr>
              <w:t>Συναπαιτ</w:t>
            </w:r>
            <w:r w:rsidRPr="00296DA9">
              <w:rPr>
                <w:rFonts w:cs="Times New Roman"/>
                <w:b/>
                <w:sz w:val="24"/>
                <w:szCs w:val="24"/>
                <w:lang w:val="el-GR" w:eastAsia="en-GB"/>
              </w:rPr>
              <w:t>ούμενα</w:t>
            </w:r>
          </w:p>
        </w:tc>
        <w:tc>
          <w:tcPr>
            <w:tcW w:w="2305" w:type="dxa"/>
            <w:gridSpan w:val="2"/>
          </w:tcPr>
          <w:p w14:paraId="0C835982" w14:textId="77777777" w:rsidR="00E50A74" w:rsidRPr="00296DA9" w:rsidRDefault="00E50A74"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E50A74" w:rsidRPr="0019680F" w14:paraId="7938D146"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06857B7"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6"/>
            <w:noWrap/>
          </w:tcPr>
          <w:p w14:paraId="6DF9F074"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sz w:val="24"/>
                <w:szCs w:val="24"/>
                <w:lang w:val="el-GR"/>
              </w:rPr>
              <w:t xml:space="preserve">Το μάθημα επικεντρώνεται στην αυτόνομη μελέτη του </w:t>
            </w:r>
            <w:r w:rsidRPr="000A367D">
              <w:rPr>
                <w:rFonts w:cs="Arial"/>
                <w:iCs/>
                <w:sz w:val="24"/>
                <w:szCs w:val="24"/>
                <w:lang w:val="el-GR"/>
              </w:rPr>
              <w:t xml:space="preserve">Ευρωπαϊκού Δημοσίου Δικαίου (ΕΔΔ) και εξετάζει την φύση, εφαρμογή και περιορισμούς στην λειτουργία του ως υπερεθνικό νομικό φαινόμενο. Συγκεκριμένα, η διδακτική μέθοδος εστιάζει στην </w:t>
            </w:r>
            <w:r w:rsidRPr="000A367D">
              <w:rPr>
                <w:rFonts w:cs="Arial"/>
                <w:sz w:val="24"/>
                <w:szCs w:val="24"/>
                <w:lang w:val="el-GR"/>
              </w:rPr>
              <w:t xml:space="preserve">θεωρητική οντολογική προσέγγιση και εξετάζει κατά πόσον  η ύπαρξη του ΕΔΔ  είναι πλασματική  ή/και νομικά ουσιαστική. Επίσης, εξετάζονται τα χαρακτηριστικά του συστήματος του ΕΔΔ όπως προκύπτουν από την αμφίδρομη σχέση επιρροής μεταξύ της Ε.Ε., της ΕΣΔΑ και των εθνικών συνταγματικών νομικών τάξεων. Η ανάλυση εστιάζει στον ρόλο των δικαστικών αρχών σε συνάρτηση με τον εξελικτικό χαρακτήρα του ΕΔΔ. Επιπλέον, αναλύονται οι εφαρμογές και περιορισμοί του ΕΔΔ σε διάφορα πεδία (Αρχή́ της Αναλογικότητας, Φυσική Δικαιοσύνη, υποχρέωση αιτιολόγησης, Απόδειξη Έννομου Συμφέροντος για δικαστικό έλεγχο, Προστασία Ανθρωπίνων Δικαιωμάτων, Εθνικό Συνταγματικό Δίκαιο και Ευρωπαϊκή Ολοκλήρωση, Αρχές Δικαστικού Ελέγχου και Δημοσίου Δικαίου). </w:t>
            </w:r>
          </w:p>
          <w:p w14:paraId="288A7E6A" w14:textId="77777777" w:rsidR="00E50A74" w:rsidRPr="000A367D"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Συγκεκριμένα: </w:t>
            </w:r>
          </w:p>
          <w:p w14:paraId="64206E1D" w14:textId="77777777" w:rsidR="00E50A74" w:rsidRPr="000A367D" w:rsidRDefault="00E50A74" w:rsidP="004B0C30">
            <w:pPr>
              <w:ind w:left="360"/>
              <w:cnfStyle w:val="000000000000" w:firstRow="0" w:lastRow="0" w:firstColumn="0" w:lastColumn="0" w:oddVBand="0" w:evenVBand="0" w:oddHBand="0" w:evenHBand="0" w:firstRowFirstColumn="0" w:firstRowLastColumn="0" w:lastRowFirstColumn="0" w:lastRowLastColumn="0"/>
              <w:rPr>
                <w:rFonts w:cs="Arial"/>
                <w:sz w:val="24"/>
                <w:szCs w:val="24"/>
                <w:u w:val="single"/>
              </w:rPr>
            </w:pPr>
            <w:r w:rsidRPr="000A367D">
              <w:rPr>
                <w:rFonts w:cs="Arial"/>
                <w:sz w:val="24"/>
                <w:szCs w:val="24"/>
                <w:u w:val="single"/>
              </w:rPr>
              <w:t xml:space="preserve">ΕΠΙΣΚΟΠΗΣΗ ΕΔΔ </w:t>
            </w:r>
          </w:p>
          <w:p w14:paraId="4B2D44EC"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sz w:val="24"/>
                <w:szCs w:val="24"/>
                <w:lang w:val="el-GR"/>
              </w:rPr>
              <w:t xml:space="preserve">ΕΙΣΑΓΩΓΗ &amp; ΦΥΣΗ ΕΔΔ: ΠΕΡΙΓΡΑΦΗ, ΑΝΤΙΛΟΓΙΑ, ΜΟΡΦΟΛΟΓΙΑ  </w:t>
            </w:r>
          </w:p>
          <w:p w14:paraId="22B9EB47"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ΟΝΤΟΛΟΓΙΚΗ ΑΝΑΛΥΣΗ ΕΔΔ-ΕΝΝΟΙΟΛΟΓΙΚΑ ΖΗΤΗΜΑΤΑ</w:t>
            </w:r>
          </w:p>
          <w:p w14:paraId="5183B897"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i/>
                <w:iCs/>
                <w:sz w:val="24"/>
                <w:szCs w:val="24"/>
                <w:lang w:val="en-GB"/>
              </w:rPr>
              <w:t>E</w:t>
            </w:r>
            <w:r w:rsidRPr="000A367D">
              <w:rPr>
                <w:rFonts w:cs="Arial"/>
                <w:i/>
                <w:iCs/>
                <w:sz w:val="24"/>
                <w:szCs w:val="24"/>
                <w:lang w:val="el-GR"/>
              </w:rPr>
              <w:t xml:space="preserve">ΔΔ ΚΑΙ </w:t>
            </w:r>
            <w:r w:rsidRPr="000A367D">
              <w:rPr>
                <w:rFonts w:cs="Arial"/>
                <w:i/>
                <w:iCs/>
                <w:sz w:val="24"/>
                <w:szCs w:val="24"/>
                <w:lang w:val="en-GB"/>
              </w:rPr>
              <w:t>REALJURIDIC</w:t>
            </w:r>
            <w:r w:rsidRPr="000A367D">
              <w:rPr>
                <w:rFonts w:cs="Arial"/>
                <w:sz w:val="24"/>
                <w:szCs w:val="24"/>
                <w:lang w:val="el-GR"/>
              </w:rPr>
              <w:t xml:space="preserve">: ΠΑΡΟΥΣΙΑ ΚΑΙ ΕΠΙΔΡΑΣΗ </w:t>
            </w:r>
          </w:p>
          <w:p w14:paraId="454D62BB"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lang w:val="en-GB"/>
              </w:rPr>
            </w:pPr>
            <w:r w:rsidRPr="000A367D">
              <w:rPr>
                <w:rFonts w:cs="Arial"/>
                <w:sz w:val="24"/>
                <w:szCs w:val="24"/>
              </w:rPr>
              <w:t>ΣΥΣΤΗΜΑΤΑ ΠΛΑΙΣΙΟ</w:t>
            </w:r>
            <w:r w:rsidRPr="000A367D">
              <w:rPr>
                <w:rFonts w:cs="Arial"/>
                <w:sz w:val="24"/>
                <w:szCs w:val="24"/>
                <w:lang w:val="en-GB"/>
              </w:rPr>
              <w:t>-</w:t>
            </w:r>
            <w:r w:rsidRPr="000A367D">
              <w:rPr>
                <w:rFonts w:cs="Arial"/>
                <w:sz w:val="24"/>
                <w:szCs w:val="24"/>
              </w:rPr>
              <w:t xml:space="preserve">ΕΣΔΑ </w:t>
            </w:r>
          </w:p>
          <w:p w14:paraId="44D16CA9"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sz w:val="24"/>
                <w:szCs w:val="24"/>
                <w:lang w:val="el-GR"/>
              </w:rPr>
              <w:t>ΣΥΣΤΗΜΑΤΑ ΠΛΑΙΣΙΟ-</w:t>
            </w:r>
            <w:r w:rsidRPr="000A367D">
              <w:rPr>
                <w:rFonts w:cs="Arial"/>
                <w:sz w:val="24"/>
                <w:szCs w:val="24"/>
                <w:lang w:val="en-GB"/>
              </w:rPr>
              <w:t>EE</w:t>
            </w:r>
            <w:r w:rsidRPr="000A367D">
              <w:rPr>
                <w:rFonts w:cs="Arial"/>
                <w:sz w:val="24"/>
                <w:szCs w:val="24"/>
                <w:lang w:val="el-GR"/>
              </w:rPr>
              <w:t xml:space="preserve">: ΥΠΕΡΒΑΣΗ ΨΥΧΟΛΟΓΙΚΩΝ ΣΥΝΤΑΓΜΑΤΙΚΩΝ ΕΜΠΟΔΙΩΝ  </w:t>
            </w:r>
          </w:p>
          <w:p w14:paraId="3142693C"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ΣΥΝΤΑΓΜΑΤΙΚΟΣ ΠΛΟΥΡΑΛΙΣΜΟΣ </w:t>
            </w:r>
          </w:p>
          <w:p w14:paraId="5BCBF478" w14:textId="77777777" w:rsidR="00E50A74" w:rsidRPr="000A367D" w:rsidRDefault="00E50A74" w:rsidP="004B0C30">
            <w:pPr>
              <w:ind w:left="360"/>
              <w:cnfStyle w:val="000000000000" w:firstRow="0" w:lastRow="0" w:firstColumn="0" w:lastColumn="0" w:oddVBand="0" w:evenVBand="0" w:oddHBand="0" w:evenHBand="0" w:firstRowFirstColumn="0" w:firstRowLastColumn="0" w:lastRowFirstColumn="0" w:lastRowLastColumn="0"/>
              <w:rPr>
                <w:rFonts w:cs="Arial"/>
                <w:sz w:val="24"/>
                <w:szCs w:val="24"/>
                <w:u w:val="single"/>
              </w:rPr>
            </w:pPr>
            <w:r w:rsidRPr="000A367D">
              <w:rPr>
                <w:rFonts w:cs="Arial"/>
                <w:sz w:val="24"/>
                <w:szCs w:val="24"/>
                <w:u w:val="single"/>
              </w:rPr>
              <w:t xml:space="preserve">ΘΕΜΑΤΙΚΕΣ ΠΡΟΣΕΓΓΙΣΕΙΣ </w:t>
            </w:r>
          </w:p>
          <w:p w14:paraId="3A6E78FC"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lang w:val="en-GB"/>
              </w:rPr>
            </w:pPr>
            <w:r w:rsidRPr="000A367D">
              <w:rPr>
                <w:rFonts w:cs="Arial"/>
                <w:sz w:val="24"/>
                <w:szCs w:val="24"/>
              </w:rPr>
              <w:t xml:space="preserve">ΥΠΟΧΡΕΩΣΗ ΑΙΤΙΟΛΟΓΗΣΗΣ </w:t>
            </w:r>
          </w:p>
          <w:p w14:paraId="3B2429C6"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ΑΡΧΗ ΤΗΣ ΑΝΑΛΟΓΙΚΟΤΗΤΑΣ  </w:t>
            </w:r>
          </w:p>
          <w:p w14:paraId="75635CAE"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lang w:val="el-GR"/>
              </w:rPr>
            </w:pPr>
            <w:r w:rsidRPr="000A367D">
              <w:rPr>
                <w:rFonts w:cs="Arial"/>
                <w:sz w:val="24"/>
                <w:szCs w:val="24"/>
                <w:lang w:val="el-GR"/>
              </w:rPr>
              <w:t>ΠΡΟΣΤΑΣΙΑ ΑΝΘΡΩΠΙΝΩΝ ΔΙΚΑΙΩΜΑΤΩΝ: ΕΣΔΑ, ΔΕΕ, ΕΘΝΙΚΑ ΔΙΚΑΣΤΗΡΙΑ</w:t>
            </w:r>
          </w:p>
          <w:p w14:paraId="7FE7718C" w14:textId="77777777" w:rsidR="00E50A74" w:rsidRPr="000A367D" w:rsidRDefault="00E50A74" w:rsidP="004B0C30">
            <w:pPr>
              <w:ind w:left="360"/>
              <w:cnfStyle w:val="000000000000" w:firstRow="0" w:lastRow="0" w:firstColumn="0" w:lastColumn="0" w:oddVBand="0" w:evenVBand="0" w:oddHBand="0" w:evenHBand="0" w:firstRowFirstColumn="0" w:firstRowLastColumn="0" w:lastRowFirstColumn="0" w:lastRowLastColumn="0"/>
              <w:rPr>
                <w:rFonts w:cs="Arial"/>
                <w:sz w:val="24"/>
                <w:szCs w:val="24"/>
                <w:u w:val="single"/>
              </w:rPr>
            </w:pPr>
            <w:r w:rsidRPr="000A367D">
              <w:rPr>
                <w:rFonts w:cs="Arial"/>
                <w:sz w:val="24"/>
                <w:szCs w:val="24"/>
                <w:u w:val="single"/>
              </w:rPr>
              <w:t>ΕΘΝΙΚΕΣ ΚΑΙ ΥΠΕΡΕΘΝΙΚΕΣ ΠΡΟΣΕΓΓΙΣΕΙΣ</w:t>
            </w:r>
          </w:p>
          <w:p w14:paraId="6CFC0F41"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ΚΥΠΡΙΑΚΗ ΕΜΠΕΙΡΙΑ </w:t>
            </w:r>
          </w:p>
          <w:p w14:paraId="1CE21325"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ΣΥΝΤΑΓΜΑΤΙΚΗ ΦΥΣΗ Ε.Ε.;  </w:t>
            </w:r>
          </w:p>
          <w:p w14:paraId="280546E3" w14:textId="77777777" w:rsidR="00E50A74" w:rsidRPr="000A367D" w:rsidRDefault="00E50A74" w:rsidP="004B0C30">
            <w:pPr>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cs="Arial"/>
                <w:sz w:val="24"/>
                <w:szCs w:val="24"/>
              </w:rPr>
            </w:pPr>
            <w:r w:rsidRPr="000A367D">
              <w:rPr>
                <w:rFonts w:cs="Arial"/>
                <w:sz w:val="24"/>
                <w:szCs w:val="24"/>
              </w:rPr>
              <w:t xml:space="preserve">ΠΑΡΟΝ ΚΑΙ ΜΕΛΛΟΝ ΕΔΔ </w:t>
            </w:r>
          </w:p>
          <w:p w14:paraId="6D7D4123" w14:textId="77777777" w:rsidR="00E50A74" w:rsidRPr="00296DA9" w:rsidRDefault="00E50A74" w:rsidP="004B0C30">
            <w:pPr>
              <w:pStyle w:val="BodyTextIndent"/>
              <w:spacing w:before="120"/>
              <w:ind w:left="35"/>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0A367D">
              <w:rPr>
                <w:rFonts w:cs="Arial"/>
                <w:sz w:val="24"/>
                <w:szCs w:val="24"/>
              </w:rPr>
              <w:t>ΣΥΝΟΨΗ</w:t>
            </w:r>
          </w:p>
        </w:tc>
      </w:tr>
      <w:tr w:rsidR="00E50A74" w:rsidRPr="00D1367E" w14:paraId="5E6E2C6C"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13C16A7C"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Μεθοδολογία Διδασκαλίας</w:t>
            </w:r>
          </w:p>
        </w:tc>
        <w:tc>
          <w:tcPr>
            <w:tcW w:w="6983" w:type="dxa"/>
            <w:gridSpan w:val="6"/>
            <w:noWrap/>
          </w:tcPr>
          <w:p w14:paraId="7E1EDADB" w14:textId="77777777" w:rsidR="00E50A74" w:rsidRPr="00E623E1" w:rsidRDefault="00E50A74" w:rsidP="004B0C30">
            <w:pPr>
              <w:jc w:val="both"/>
              <w:cnfStyle w:val="000000100000" w:firstRow="0" w:lastRow="0" w:firstColumn="0" w:lastColumn="0" w:oddVBand="0" w:evenVBand="0" w:oddHBand="1" w:evenHBand="0" w:firstRowFirstColumn="0" w:firstRowLastColumn="0" w:lastRowFirstColumn="0" w:lastRowLastColumn="0"/>
              <w:rPr>
                <w:rFonts w:cs="Arial"/>
                <w:b/>
                <w:sz w:val="24"/>
                <w:szCs w:val="24"/>
                <w:u w:val="single"/>
                <w:lang w:val="el-GR"/>
              </w:rPr>
            </w:pPr>
            <w:r w:rsidRPr="00E623E1">
              <w:rPr>
                <w:rFonts w:cs="Arial"/>
                <w:sz w:val="24"/>
                <w:szCs w:val="24"/>
                <w:lang w:val="el-GR"/>
              </w:rPr>
              <w:t xml:space="preserve">Εφαρμόζεται η διαλεκτική μέθοδος. Κατά τη διάρκεια των διαλέξεων, οι οποίες υποστηρίζονται από παρουσιάσεις </w:t>
            </w:r>
            <w:r w:rsidRPr="00E623E1">
              <w:rPr>
                <w:rFonts w:cs="Arial"/>
                <w:sz w:val="24"/>
                <w:szCs w:val="24"/>
              </w:rPr>
              <w:t>power</w:t>
            </w:r>
            <w:r w:rsidRPr="00E623E1">
              <w:rPr>
                <w:rFonts w:cs="Arial"/>
                <w:sz w:val="24"/>
                <w:szCs w:val="24"/>
                <w:lang w:val="el-GR"/>
              </w:rPr>
              <w:t xml:space="preserve"> </w:t>
            </w:r>
            <w:r w:rsidRPr="00E623E1">
              <w:rPr>
                <w:rFonts w:cs="Arial"/>
                <w:sz w:val="24"/>
                <w:szCs w:val="24"/>
              </w:rPr>
              <w:t>point</w:t>
            </w:r>
            <w:r w:rsidRPr="00E623E1">
              <w:rPr>
                <w:rFonts w:cs="Arial"/>
                <w:sz w:val="24"/>
                <w:szCs w:val="24"/>
                <w:lang w:val="el-GR"/>
              </w:rPr>
              <w:t xml:space="preserve">, ενθαρρύνεται η συμμετοχή των φοιτητών με την υποβολή ερωτήσεων. Η διδασκαλία γίνεται με διαλέξεις. Η παρακολούθηση μαθημάτων είναι </w:t>
            </w:r>
            <w:r w:rsidRPr="00E623E1">
              <w:rPr>
                <w:rFonts w:cs="Arial"/>
                <w:sz w:val="24"/>
                <w:szCs w:val="24"/>
                <w:u w:val="single"/>
                <w:lang w:val="el-GR"/>
              </w:rPr>
              <w:t>υποχρεωτική</w:t>
            </w:r>
            <w:r w:rsidRPr="00E623E1">
              <w:rPr>
                <w:rFonts w:cs="Arial"/>
                <w:sz w:val="24"/>
                <w:szCs w:val="24"/>
                <w:lang w:val="el-GR"/>
              </w:rPr>
              <w:t xml:space="preserve">. Απαραίτητο βοήθημα για τις διαλέξεις είναι το </w:t>
            </w:r>
            <w:r w:rsidRPr="00E623E1">
              <w:rPr>
                <w:rFonts w:cs="Arial"/>
                <w:sz w:val="24"/>
                <w:szCs w:val="24"/>
                <w:lang w:val="en-GB"/>
              </w:rPr>
              <w:t>syllabus</w:t>
            </w:r>
            <w:r w:rsidRPr="00E623E1">
              <w:rPr>
                <w:rFonts w:cs="Arial"/>
                <w:sz w:val="24"/>
                <w:szCs w:val="24"/>
                <w:lang w:val="el-GR"/>
              </w:rPr>
              <w:t xml:space="preserve">, ενώ θα δίδεται αναλυτικό </w:t>
            </w:r>
            <w:r w:rsidRPr="00E623E1">
              <w:rPr>
                <w:rFonts w:cs="Arial"/>
                <w:sz w:val="24"/>
                <w:szCs w:val="24"/>
                <w:lang w:val="en-GB"/>
              </w:rPr>
              <w:t>handout</w:t>
            </w:r>
            <w:r w:rsidRPr="00E623E1">
              <w:rPr>
                <w:rFonts w:cs="Arial"/>
                <w:sz w:val="24"/>
                <w:szCs w:val="24"/>
                <w:lang w:val="el-GR"/>
              </w:rPr>
              <w:t xml:space="preserve"> σε σχέση με την κάθε διάλεξη με τα </w:t>
            </w:r>
            <w:r w:rsidRPr="00E623E1">
              <w:rPr>
                <w:rFonts w:cs="Arial"/>
                <w:sz w:val="24"/>
                <w:szCs w:val="24"/>
                <w:lang w:val="en-GB"/>
              </w:rPr>
              <w:t>slides</w:t>
            </w:r>
            <w:r w:rsidRPr="00E623E1">
              <w:rPr>
                <w:rFonts w:cs="Arial"/>
                <w:sz w:val="24"/>
                <w:szCs w:val="24"/>
                <w:lang w:val="el-GR"/>
              </w:rPr>
              <w:t xml:space="preserve"> τα οποία θα χρησιμοποιούνται σε κάθε μάθημα.</w:t>
            </w:r>
          </w:p>
          <w:p w14:paraId="00BEEC2A" w14:textId="77777777" w:rsidR="00E50A74" w:rsidRPr="002E1D70" w:rsidRDefault="00E50A74" w:rsidP="004B0C30">
            <w:pPr>
              <w:jc w:val="both"/>
              <w:cnfStyle w:val="000000100000" w:firstRow="0" w:lastRow="0" w:firstColumn="0" w:lastColumn="0" w:oddVBand="0" w:evenVBand="0" w:oddHBand="1" w:evenHBand="0" w:firstRowFirstColumn="0" w:firstRowLastColumn="0" w:lastRowFirstColumn="0" w:lastRowLastColumn="0"/>
              <w:rPr>
                <w:rFonts w:cs="Arial"/>
                <w:i/>
                <w:sz w:val="24"/>
                <w:szCs w:val="24"/>
                <w:lang w:val="el-GR"/>
              </w:rPr>
            </w:pPr>
            <w:r w:rsidRPr="002E1D70">
              <w:rPr>
                <w:rFonts w:cs="Arial"/>
                <w:i/>
                <w:sz w:val="24"/>
                <w:szCs w:val="24"/>
                <w:lang w:val="el-GR"/>
              </w:rPr>
              <w:t>Προετοιμασία για Διαλέξεις</w:t>
            </w:r>
          </w:p>
          <w:p w14:paraId="3776AA40" w14:textId="77777777" w:rsidR="00E50A74" w:rsidRPr="00E623E1" w:rsidRDefault="00E50A74" w:rsidP="004B0C30">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E623E1">
              <w:rPr>
                <w:rFonts w:cs="Arial"/>
                <w:sz w:val="24"/>
                <w:szCs w:val="24"/>
                <w:lang w:val="el-GR"/>
              </w:rPr>
              <w:t xml:space="preserve">Για κάθε ενότητα διαλέξεων, οι φοιτητές οφείλουν να έχουν μελετήσει συγκεκριμένες αποφάσεις ώστε να μπορούν να παρακολουθούν τη ροή της διάλεξης. </w:t>
            </w:r>
            <w:r w:rsidRPr="00E623E1">
              <w:rPr>
                <w:rFonts w:cs="Arial"/>
                <w:sz w:val="24"/>
                <w:szCs w:val="24"/>
              </w:rPr>
              <w:t>H</w:t>
            </w:r>
            <w:r w:rsidRPr="00E623E1">
              <w:rPr>
                <w:rFonts w:cs="Arial"/>
                <w:sz w:val="24"/>
                <w:szCs w:val="24"/>
                <w:lang w:val="el-GR"/>
              </w:rPr>
              <w:t xml:space="preserve"> υποχρέωση αυτή ελέγχεται σε κάθε διάλεξη δια της τυχαίας επιλογής φοιτητών.</w:t>
            </w:r>
          </w:p>
        </w:tc>
      </w:tr>
      <w:tr w:rsidR="00E50A74" w:rsidRPr="00E623E1" w14:paraId="2A813D12"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43AB0200"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6"/>
            <w:noWrap/>
          </w:tcPr>
          <w:p w14:paraId="1278A0E1"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u w:val="single"/>
              </w:rPr>
            </w:pPr>
            <w:r w:rsidRPr="00E623E1">
              <w:rPr>
                <w:rFonts w:cs="Arial"/>
                <w:sz w:val="24"/>
                <w:szCs w:val="24"/>
                <w:u w:val="single"/>
              </w:rPr>
              <w:t>ΒΙΒΛΙΑ</w:t>
            </w:r>
          </w:p>
          <w:p w14:paraId="38C09A46"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P. </w:t>
            </w:r>
            <w:r w:rsidRPr="00E623E1">
              <w:rPr>
                <w:rFonts w:cs="Arial"/>
                <w:sz w:val="24"/>
                <w:szCs w:val="24"/>
                <w:lang w:val="en-GB"/>
              </w:rPr>
              <w:t xml:space="preserve">Birkinshaw, </w:t>
            </w:r>
            <w:r w:rsidRPr="00366D72">
              <w:rPr>
                <w:rFonts w:cs="Arial"/>
                <w:i/>
                <w:sz w:val="24"/>
                <w:szCs w:val="24"/>
                <w:lang w:val="en-GB"/>
              </w:rPr>
              <w:t>European Public Law: The Achievement and the Challenge</w:t>
            </w:r>
            <w:r w:rsidRPr="004D20FE">
              <w:rPr>
                <w:rStyle w:val="Emphasis"/>
                <w:rFonts w:cs="Arial"/>
                <w:sz w:val="24"/>
                <w:szCs w:val="24"/>
                <w:lang w:val="en-GB"/>
              </w:rPr>
              <w:t>,</w:t>
            </w:r>
            <w:r w:rsidRPr="004D20FE">
              <w:rPr>
                <w:rFonts w:cs="Arial"/>
                <w:sz w:val="24"/>
                <w:szCs w:val="24"/>
              </w:rPr>
              <w:t xml:space="preserve"> 2</w:t>
            </w:r>
            <w:r w:rsidRPr="004D20FE">
              <w:rPr>
                <w:rFonts w:cs="Arial"/>
                <w:sz w:val="24"/>
                <w:szCs w:val="24"/>
                <w:lang w:val="en-GB"/>
              </w:rPr>
              <w:t>n</w:t>
            </w:r>
            <w:r w:rsidRPr="00E623E1">
              <w:rPr>
                <w:rFonts w:cs="Arial"/>
                <w:sz w:val="24"/>
                <w:szCs w:val="24"/>
                <w:lang w:val="en-GB"/>
              </w:rPr>
              <w:t>d</w:t>
            </w:r>
            <w:r w:rsidRPr="00E623E1">
              <w:rPr>
                <w:rFonts w:cs="Arial"/>
                <w:sz w:val="24"/>
                <w:szCs w:val="24"/>
              </w:rPr>
              <w:t xml:space="preserve"> </w:t>
            </w:r>
            <w:r w:rsidRPr="00E623E1">
              <w:rPr>
                <w:rFonts w:cs="Arial"/>
                <w:sz w:val="24"/>
                <w:szCs w:val="24"/>
                <w:lang w:val="en-GB"/>
              </w:rPr>
              <w:t>edn</w:t>
            </w:r>
            <w:r w:rsidRPr="00E623E1">
              <w:rPr>
                <w:rFonts w:cs="Arial"/>
                <w:sz w:val="24"/>
                <w:szCs w:val="24"/>
              </w:rPr>
              <w:t>.,</w:t>
            </w:r>
            <w:r w:rsidRPr="00E623E1">
              <w:rPr>
                <w:rFonts w:cs="Arial"/>
                <w:sz w:val="24"/>
                <w:szCs w:val="24"/>
                <w:lang w:val="en-GB"/>
              </w:rPr>
              <w:t xml:space="preserve"> (The</w:t>
            </w:r>
            <w:r w:rsidRPr="00E623E1">
              <w:rPr>
                <w:rFonts w:cs="Arial"/>
                <w:sz w:val="24"/>
                <w:szCs w:val="24"/>
              </w:rPr>
              <w:t xml:space="preserve"> </w:t>
            </w:r>
            <w:r w:rsidRPr="00E623E1">
              <w:rPr>
                <w:rFonts w:cs="Arial"/>
                <w:sz w:val="24"/>
                <w:szCs w:val="24"/>
                <w:lang w:val="en-GB"/>
              </w:rPr>
              <w:t>Hague</w:t>
            </w:r>
            <w:r w:rsidRPr="00E623E1">
              <w:rPr>
                <w:rFonts w:cs="Arial"/>
                <w:sz w:val="24"/>
                <w:szCs w:val="24"/>
              </w:rPr>
              <w:t xml:space="preserve">: </w:t>
            </w:r>
            <w:r w:rsidRPr="00E623E1">
              <w:rPr>
                <w:rFonts w:cs="Arial"/>
                <w:sz w:val="24"/>
                <w:szCs w:val="24"/>
                <w:lang w:val="en-GB"/>
              </w:rPr>
              <w:t>Kluwer</w:t>
            </w:r>
            <w:r w:rsidRPr="00E623E1">
              <w:rPr>
                <w:rFonts w:cs="Arial"/>
                <w:sz w:val="24"/>
                <w:szCs w:val="24"/>
              </w:rPr>
              <w:t xml:space="preserve"> </w:t>
            </w:r>
            <w:r w:rsidRPr="00E623E1">
              <w:rPr>
                <w:rFonts w:cs="Arial"/>
                <w:sz w:val="24"/>
                <w:szCs w:val="24"/>
                <w:lang w:val="en-GB"/>
              </w:rPr>
              <w:t>Law</w:t>
            </w:r>
            <w:r w:rsidRPr="00E623E1">
              <w:rPr>
                <w:rFonts w:cs="Arial"/>
                <w:sz w:val="24"/>
                <w:szCs w:val="24"/>
              </w:rPr>
              <w:t xml:space="preserve">, </w:t>
            </w:r>
            <w:r w:rsidRPr="00E623E1">
              <w:rPr>
                <w:rFonts w:cs="Arial"/>
                <w:sz w:val="24"/>
                <w:szCs w:val="24"/>
                <w:lang w:val="en-GB"/>
              </w:rPr>
              <w:t>2014).</w:t>
            </w:r>
          </w:p>
          <w:p w14:paraId="4FEB54A8"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Avbelj and G. Davies (eds), </w:t>
            </w:r>
            <w:r w:rsidRPr="00E623E1">
              <w:rPr>
                <w:rFonts w:cs="Arial"/>
                <w:i/>
                <w:sz w:val="24"/>
                <w:szCs w:val="24"/>
              </w:rPr>
              <w:t>Research Handbook on Legal Pluralism and EU Law</w:t>
            </w:r>
            <w:r w:rsidRPr="00E623E1">
              <w:rPr>
                <w:rFonts w:cs="Arial"/>
                <w:sz w:val="24"/>
                <w:szCs w:val="24"/>
              </w:rPr>
              <w:t>, (Cheltenham: Edward Elgar, 2017).</w:t>
            </w:r>
          </w:p>
          <w:p w14:paraId="121B9A15"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Rosenfeld and A. Sajó (eds), </w:t>
            </w:r>
            <w:r w:rsidRPr="00E623E1">
              <w:rPr>
                <w:rFonts w:cs="Arial"/>
                <w:i/>
                <w:sz w:val="24"/>
                <w:szCs w:val="24"/>
              </w:rPr>
              <w:t>The Oxford Handbook of Comparative Constitutional Law</w:t>
            </w:r>
            <w:r w:rsidRPr="00E623E1">
              <w:rPr>
                <w:rFonts w:cs="Arial"/>
                <w:sz w:val="24"/>
                <w:szCs w:val="24"/>
              </w:rPr>
              <w:t xml:space="preserve"> (Oxford: OUP, 2012).</w:t>
            </w:r>
          </w:p>
          <w:p w14:paraId="47F2E46E"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R. Schütze, </w:t>
            </w:r>
            <w:r w:rsidRPr="00E623E1">
              <w:rPr>
                <w:rFonts w:cs="Arial"/>
                <w:i/>
                <w:sz w:val="24"/>
                <w:szCs w:val="24"/>
              </w:rPr>
              <w:t>European Constitutional Law</w:t>
            </w:r>
            <w:r w:rsidRPr="00E623E1">
              <w:rPr>
                <w:rFonts w:cs="Arial"/>
                <w:sz w:val="24"/>
                <w:szCs w:val="24"/>
              </w:rPr>
              <w:t>, (Cambridge: Cambridge University Press, 2012).</w:t>
            </w:r>
          </w:p>
          <w:p w14:paraId="4C3230C5"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R. Schütze and T. Tridimas</w:t>
            </w:r>
            <w:r w:rsidRPr="00E623E1">
              <w:rPr>
                <w:rFonts w:cs="Arial"/>
                <w:i/>
                <w:sz w:val="24"/>
                <w:szCs w:val="24"/>
              </w:rPr>
              <w:t>, Oxford Principles of European Union Law - Volume I: The European Union Legal Order,</w:t>
            </w:r>
            <w:r w:rsidRPr="00E623E1">
              <w:rPr>
                <w:rFonts w:cs="Arial"/>
                <w:sz w:val="24"/>
                <w:szCs w:val="24"/>
              </w:rPr>
              <w:t xml:space="preserve"> (Oxford: OUP, 2014). </w:t>
            </w:r>
          </w:p>
          <w:p w14:paraId="3C85C31E"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Rosas and L. Armati, </w:t>
            </w:r>
            <w:r w:rsidRPr="00E623E1">
              <w:rPr>
                <w:rFonts w:cs="Arial"/>
                <w:i/>
                <w:sz w:val="24"/>
                <w:szCs w:val="24"/>
              </w:rPr>
              <w:t>EU Constitutional Law: An Introduction</w:t>
            </w:r>
            <w:r w:rsidRPr="00E623E1">
              <w:rPr>
                <w:rFonts w:cs="Arial"/>
                <w:sz w:val="24"/>
                <w:szCs w:val="24"/>
              </w:rPr>
              <w:t>, 2nd ed., (Oxford: Hart. Publishing, 2012).</w:t>
            </w:r>
          </w:p>
          <w:p w14:paraId="729B2FA9"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Avbelj and J. Komarek (eds), </w:t>
            </w:r>
            <w:r w:rsidRPr="00E623E1">
              <w:rPr>
                <w:rFonts w:cs="Arial"/>
                <w:i/>
                <w:sz w:val="24"/>
                <w:szCs w:val="24"/>
              </w:rPr>
              <w:t>Constitutional Pluralism in the European Union and Beyond</w:t>
            </w:r>
            <w:r w:rsidRPr="00E623E1">
              <w:rPr>
                <w:rFonts w:cs="Arial"/>
                <w:sz w:val="24"/>
                <w:szCs w:val="24"/>
              </w:rPr>
              <w:t>, (Oxford: OUP, 2012).</w:t>
            </w:r>
          </w:p>
          <w:p w14:paraId="46805776"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A.W. Heringa, </w:t>
            </w:r>
            <w:r w:rsidRPr="00E623E1">
              <w:rPr>
                <w:rFonts w:cs="Arial"/>
                <w:i/>
                <w:sz w:val="24"/>
                <w:szCs w:val="24"/>
              </w:rPr>
              <w:t>Constitutions Compared: An Introduction to Comparative Constitutional Law</w:t>
            </w:r>
            <w:r w:rsidRPr="00E623E1">
              <w:rPr>
                <w:rFonts w:cs="Arial"/>
                <w:sz w:val="24"/>
                <w:szCs w:val="24"/>
              </w:rPr>
              <w:t>, 4</w:t>
            </w:r>
            <w:r w:rsidRPr="00E623E1">
              <w:rPr>
                <w:rFonts w:cs="Arial"/>
                <w:sz w:val="24"/>
                <w:szCs w:val="24"/>
                <w:vertAlign w:val="superscript"/>
              </w:rPr>
              <w:t>th</w:t>
            </w:r>
            <w:r w:rsidRPr="00E623E1">
              <w:rPr>
                <w:rFonts w:cs="Arial"/>
                <w:sz w:val="24"/>
                <w:szCs w:val="24"/>
              </w:rPr>
              <w:t xml:space="preserve"> edn., (Intersentia: 2016).</w:t>
            </w:r>
          </w:p>
          <w:p w14:paraId="44A82774"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J. Menéndez and J.E. Fossum (eds), </w:t>
            </w:r>
            <w:r w:rsidRPr="00E623E1">
              <w:rPr>
                <w:rFonts w:cs="Arial"/>
                <w:i/>
                <w:sz w:val="24"/>
                <w:szCs w:val="24"/>
              </w:rPr>
              <w:t>Law and Democracy in D. Neil MacCormick's Legal and Political Theory</w:t>
            </w:r>
            <w:r w:rsidRPr="00E623E1">
              <w:rPr>
                <w:rFonts w:cs="Arial"/>
                <w:sz w:val="24"/>
                <w:szCs w:val="24"/>
              </w:rPr>
              <w:t>, (Springer, 2011).</w:t>
            </w:r>
          </w:p>
          <w:p w14:paraId="01FE61F7"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K. Tuori and S. Sankari (eds), </w:t>
            </w:r>
            <w:r w:rsidRPr="00E623E1">
              <w:rPr>
                <w:rFonts w:cs="Arial"/>
                <w:i/>
                <w:sz w:val="24"/>
                <w:szCs w:val="24"/>
              </w:rPr>
              <w:t>The Many Constitutions of Europe</w:t>
            </w:r>
            <w:r w:rsidRPr="00E623E1">
              <w:rPr>
                <w:rFonts w:cs="Arial"/>
                <w:sz w:val="24"/>
                <w:szCs w:val="24"/>
              </w:rPr>
              <w:t xml:space="preserve"> (Routledge, 2010).</w:t>
            </w:r>
          </w:p>
          <w:p w14:paraId="1700E586"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J.L. Dunoff and J.P. Trachtman (eds), </w:t>
            </w:r>
            <w:r w:rsidRPr="00E623E1">
              <w:rPr>
                <w:rFonts w:cs="Arial"/>
                <w:i/>
                <w:sz w:val="24"/>
                <w:szCs w:val="24"/>
              </w:rPr>
              <w:t>Ruling the World? Constitutionalism, International Law, and Global Governance</w:t>
            </w:r>
            <w:r w:rsidRPr="00E623E1">
              <w:rPr>
                <w:rFonts w:cs="Arial"/>
                <w:sz w:val="24"/>
                <w:szCs w:val="24"/>
              </w:rPr>
              <w:t xml:space="preserve"> (Cambridge: Cambridge University Press, 2009).</w:t>
            </w:r>
          </w:p>
          <w:p w14:paraId="18720047"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G. Teubner, </w:t>
            </w:r>
            <w:r w:rsidRPr="00E623E1">
              <w:rPr>
                <w:rFonts w:cs="Arial"/>
                <w:i/>
                <w:sz w:val="24"/>
                <w:szCs w:val="24"/>
              </w:rPr>
              <w:t>Constitutional Fragments: Societal Constitutionalism and Globalization</w:t>
            </w:r>
            <w:r w:rsidRPr="00E623E1">
              <w:rPr>
                <w:rFonts w:cs="Arial"/>
                <w:sz w:val="24"/>
                <w:szCs w:val="24"/>
              </w:rPr>
              <w:t xml:space="preserve"> (Oxford: OUP, 2012).</w:t>
            </w:r>
          </w:p>
          <w:p w14:paraId="68816FEB"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J.L. Dunoff and J.P. Trachtman (eds), </w:t>
            </w:r>
            <w:r w:rsidRPr="00E623E1">
              <w:rPr>
                <w:rFonts w:cs="Arial"/>
                <w:i/>
                <w:sz w:val="24"/>
                <w:szCs w:val="24"/>
              </w:rPr>
              <w:t>Ruling the World? International Law, Global Governance, Constitutionalism</w:t>
            </w:r>
            <w:r w:rsidRPr="00E623E1">
              <w:rPr>
                <w:rFonts w:cs="Arial"/>
                <w:sz w:val="24"/>
                <w:szCs w:val="24"/>
              </w:rPr>
              <w:t xml:space="preserve"> (Cambridge: Cambridge University Press, 2009).</w:t>
            </w:r>
          </w:p>
          <w:p w14:paraId="48AF7931"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G. de Búrca and J. Weiler (eds), </w:t>
            </w:r>
            <w:r w:rsidRPr="00E623E1">
              <w:rPr>
                <w:rFonts w:cs="Arial"/>
                <w:i/>
                <w:sz w:val="24"/>
                <w:szCs w:val="24"/>
              </w:rPr>
              <w:t>The Worlds of European Constitutionalism</w:t>
            </w:r>
            <w:r w:rsidRPr="00E623E1">
              <w:rPr>
                <w:rFonts w:cs="Arial"/>
                <w:sz w:val="24"/>
                <w:szCs w:val="24"/>
              </w:rPr>
              <w:t xml:space="preserve"> (Cambridge: Cambridge University Press, 2011).</w:t>
            </w:r>
          </w:p>
          <w:p w14:paraId="0EC91915" w14:textId="77777777" w:rsidR="00E50A74" w:rsidRPr="00E623E1" w:rsidRDefault="00E50A74" w:rsidP="004B0C30">
            <w:pPr>
              <w:tabs>
                <w:tab w:val="num" w:pos="720"/>
              </w:tabs>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lang w:val="en-GB"/>
              </w:rPr>
              <w:t xml:space="preserve">C. Kombos, (eds), </w:t>
            </w:r>
            <w:r w:rsidRPr="00E623E1">
              <w:rPr>
                <w:rFonts w:cs="Arial"/>
                <w:i/>
                <w:sz w:val="24"/>
                <w:szCs w:val="24"/>
                <w:lang w:val="en-GB"/>
              </w:rPr>
              <w:t xml:space="preserve">Studies in European Public Law, </w:t>
            </w:r>
            <w:r w:rsidRPr="00E623E1">
              <w:rPr>
                <w:rFonts w:cs="Arial"/>
                <w:sz w:val="24"/>
                <w:szCs w:val="24"/>
                <w:lang w:val="en-GB"/>
              </w:rPr>
              <w:t xml:space="preserve">(Athens, Thessaloniki: Sakkoulas, 2010). </w:t>
            </w:r>
          </w:p>
          <w:p w14:paraId="53D3EAA8" w14:textId="77777777" w:rsidR="00E50A74" w:rsidRPr="00E623E1" w:rsidRDefault="00E50A74" w:rsidP="004B0C30">
            <w:pPr>
              <w:cnfStyle w:val="000000000000" w:firstRow="0" w:lastRow="0" w:firstColumn="0" w:lastColumn="0" w:oddVBand="0" w:evenVBand="0" w:oddHBand="0" w:evenHBand="0" w:firstRowFirstColumn="0" w:firstRowLastColumn="0" w:lastRowFirstColumn="0" w:lastRowLastColumn="0"/>
              <w:rPr>
                <w:rFonts w:cs="Arial"/>
                <w:sz w:val="24"/>
                <w:szCs w:val="24"/>
                <w:lang w:val="it-IT"/>
              </w:rPr>
            </w:pPr>
            <w:r w:rsidRPr="00E623E1">
              <w:rPr>
                <w:rFonts w:cs="Arial"/>
                <w:sz w:val="24"/>
                <w:szCs w:val="24"/>
                <w:lang w:val="en-GB"/>
              </w:rPr>
              <w:t>C. Kombos</w:t>
            </w:r>
            <w:r w:rsidRPr="00E623E1">
              <w:rPr>
                <w:rFonts w:cs="Arial"/>
                <w:sz w:val="24"/>
                <w:szCs w:val="24"/>
              </w:rPr>
              <w:t xml:space="preserve">, </w:t>
            </w:r>
            <w:r w:rsidRPr="00E623E1">
              <w:rPr>
                <w:rFonts w:cs="Arial"/>
                <w:i/>
                <w:sz w:val="24"/>
                <w:szCs w:val="24"/>
                <w:lang w:val="en-GB"/>
              </w:rPr>
              <w:t>ECJ</w:t>
            </w:r>
            <w:r w:rsidRPr="00E623E1">
              <w:rPr>
                <w:rFonts w:cs="Arial"/>
                <w:i/>
                <w:sz w:val="24"/>
                <w:szCs w:val="24"/>
              </w:rPr>
              <w:t xml:space="preserve"> </w:t>
            </w:r>
            <w:r w:rsidRPr="00E623E1">
              <w:rPr>
                <w:rFonts w:cs="Arial"/>
                <w:i/>
                <w:sz w:val="24"/>
                <w:szCs w:val="24"/>
                <w:lang w:val="en-GB"/>
              </w:rPr>
              <w:t>and</w:t>
            </w:r>
            <w:r w:rsidRPr="00E623E1">
              <w:rPr>
                <w:rFonts w:cs="Arial"/>
                <w:i/>
                <w:sz w:val="24"/>
                <w:szCs w:val="24"/>
              </w:rPr>
              <w:t xml:space="preserve"> </w:t>
            </w:r>
            <w:r w:rsidRPr="00E623E1">
              <w:rPr>
                <w:rFonts w:cs="Arial"/>
                <w:i/>
                <w:sz w:val="24"/>
                <w:szCs w:val="24"/>
                <w:lang w:val="en-GB"/>
              </w:rPr>
              <w:t>Judicial</w:t>
            </w:r>
            <w:r w:rsidRPr="00E623E1">
              <w:rPr>
                <w:rFonts w:cs="Arial"/>
                <w:i/>
                <w:sz w:val="24"/>
                <w:szCs w:val="24"/>
              </w:rPr>
              <w:t xml:space="preserve"> </w:t>
            </w:r>
            <w:r w:rsidRPr="00E623E1">
              <w:rPr>
                <w:rFonts w:cs="Arial"/>
                <w:i/>
                <w:sz w:val="24"/>
                <w:szCs w:val="24"/>
                <w:lang w:val="en-GB"/>
              </w:rPr>
              <w:t>Activism</w:t>
            </w:r>
            <w:r w:rsidRPr="00E623E1">
              <w:rPr>
                <w:rFonts w:cs="Arial"/>
                <w:i/>
                <w:sz w:val="24"/>
                <w:szCs w:val="24"/>
              </w:rPr>
              <w:t xml:space="preserve">: </w:t>
            </w:r>
            <w:r w:rsidRPr="00E623E1">
              <w:rPr>
                <w:rFonts w:cs="Arial"/>
                <w:i/>
                <w:sz w:val="24"/>
                <w:szCs w:val="24"/>
                <w:lang w:val="en-GB"/>
              </w:rPr>
              <w:t>Myth</w:t>
            </w:r>
            <w:r w:rsidRPr="00E623E1">
              <w:rPr>
                <w:rFonts w:cs="Arial"/>
                <w:i/>
                <w:sz w:val="24"/>
                <w:szCs w:val="24"/>
              </w:rPr>
              <w:t xml:space="preserve"> </w:t>
            </w:r>
            <w:r w:rsidRPr="00E623E1">
              <w:rPr>
                <w:rFonts w:cs="Arial"/>
                <w:i/>
                <w:sz w:val="24"/>
                <w:szCs w:val="24"/>
                <w:lang w:val="en-GB"/>
              </w:rPr>
              <w:t>or</w:t>
            </w:r>
            <w:r w:rsidRPr="00E623E1">
              <w:rPr>
                <w:rFonts w:cs="Arial"/>
                <w:i/>
                <w:sz w:val="24"/>
                <w:szCs w:val="24"/>
              </w:rPr>
              <w:t xml:space="preserve"> </w:t>
            </w:r>
            <w:r w:rsidRPr="00E623E1">
              <w:rPr>
                <w:rFonts w:cs="Arial"/>
                <w:i/>
                <w:sz w:val="24"/>
                <w:szCs w:val="24"/>
                <w:lang w:val="en-GB"/>
              </w:rPr>
              <w:t>Reality</w:t>
            </w:r>
            <w:r w:rsidRPr="00E623E1">
              <w:rPr>
                <w:rFonts w:cs="Arial"/>
                <w:i/>
                <w:sz w:val="24"/>
                <w:szCs w:val="24"/>
              </w:rPr>
              <w:t>?</w:t>
            </w:r>
            <w:r w:rsidRPr="00E623E1">
              <w:rPr>
                <w:rFonts w:cs="Arial"/>
                <w:sz w:val="24"/>
                <w:szCs w:val="24"/>
              </w:rPr>
              <w:t xml:space="preserve"> (</w:t>
            </w:r>
            <w:r w:rsidRPr="00E623E1">
              <w:rPr>
                <w:rFonts w:cs="Arial"/>
                <w:sz w:val="24"/>
                <w:szCs w:val="24"/>
                <w:lang w:val="en-GB"/>
              </w:rPr>
              <w:t>Athens</w:t>
            </w:r>
            <w:r w:rsidRPr="00E623E1">
              <w:rPr>
                <w:rFonts w:cs="Arial"/>
                <w:sz w:val="24"/>
                <w:szCs w:val="24"/>
              </w:rPr>
              <w:t xml:space="preserve">, </w:t>
            </w:r>
            <w:r w:rsidRPr="00E623E1">
              <w:rPr>
                <w:rFonts w:cs="Arial"/>
                <w:sz w:val="24"/>
                <w:szCs w:val="24"/>
                <w:lang w:val="en-GB"/>
              </w:rPr>
              <w:t>Thessaloniki</w:t>
            </w:r>
            <w:r w:rsidRPr="00E623E1">
              <w:rPr>
                <w:rFonts w:cs="Arial"/>
                <w:sz w:val="24"/>
                <w:szCs w:val="24"/>
              </w:rPr>
              <w:t xml:space="preserve">: </w:t>
            </w:r>
            <w:r w:rsidRPr="00E623E1">
              <w:rPr>
                <w:rFonts w:cs="Arial"/>
                <w:sz w:val="24"/>
                <w:szCs w:val="24"/>
                <w:lang w:val="en-GB"/>
              </w:rPr>
              <w:t>Sakkoulas</w:t>
            </w:r>
            <w:r w:rsidRPr="00E623E1">
              <w:rPr>
                <w:rFonts w:cs="Arial"/>
                <w:sz w:val="24"/>
                <w:szCs w:val="24"/>
              </w:rPr>
              <w:t>, 2010).</w:t>
            </w:r>
          </w:p>
          <w:p w14:paraId="03DE196F"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lang w:val="en-GB"/>
              </w:rPr>
            </w:pPr>
            <w:r w:rsidRPr="00E623E1">
              <w:rPr>
                <w:rFonts w:cs="Arial"/>
                <w:sz w:val="24"/>
                <w:szCs w:val="24"/>
                <w:lang w:val="en-GB"/>
              </w:rPr>
              <w:t xml:space="preserve">J. Schwarze, </w:t>
            </w:r>
            <w:r w:rsidRPr="00E623E1">
              <w:rPr>
                <w:rFonts w:cs="Arial"/>
                <w:i/>
                <w:iCs/>
                <w:sz w:val="24"/>
                <w:szCs w:val="24"/>
                <w:lang w:val="en-GB"/>
              </w:rPr>
              <w:t>European administrative law</w:t>
            </w:r>
            <w:r w:rsidRPr="00E623E1">
              <w:rPr>
                <w:rFonts w:cs="Arial"/>
                <w:sz w:val="24"/>
                <w:szCs w:val="24"/>
                <w:lang w:val="en-GB"/>
              </w:rPr>
              <w:t>, Rev. ed, (London: Sweet &amp; Maxwell, 2006)</w:t>
            </w:r>
            <w:r w:rsidRPr="00E623E1">
              <w:rPr>
                <w:rFonts w:cs="Arial"/>
                <w:sz w:val="24"/>
                <w:szCs w:val="24"/>
              </w:rPr>
              <w:t>.</w:t>
            </w:r>
          </w:p>
          <w:p w14:paraId="7A826819"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sz w:val="24"/>
                <w:szCs w:val="24"/>
                <w:u w:val="single"/>
                <w:lang w:val="en-GB"/>
              </w:rPr>
            </w:pPr>
            <w:r w:rsidRPr="00E623E1">
              <w:rPr>
                <w:sz w:val="24"/>
                <w:szCs w:val="24"/>
                <w:u w:val="single"/>
                <w:lang w:val="en-GB"/>
              </w:rPr>
              <w:t>ΑΡΘΡΑ</w:t>
            </w:r>
          </w:p>
          <w:p w14:paraId="77E090CC"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M.S. Kuo, “The End of Constitutionalism As We Know It? Boundaries and the State of Global Constitutional (Dis)Ordering” (2010) 1(3) </w:t>
            </w:r>
            <w:r w:rsidRPr="00E623E1">
              <w:rPr>
                <w:rFonts w:cs="Arial"/>
                <w:i/>
                <w:sz w:val="24"/>
                <w:szCs w:val="24"/>
              </w:rPr>
              <w:t>Transnational Legal Theory</w:t>
            </w:r>
            <w:r w:rsidRPr="00E623E1">
              <w:rPr>
                <w:rFonts w:cs="Arial"/>
                <w:sz w:val="24"/>
                <w:szCs w:val="24"/>
              </w:rPr>
              <w:t xml:space="preserve"> 329.</w:t>
            </w:r>
          </w:p>
          <w:p w14:paraId="7D1FDCEA"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V. Perju, “Cosmopolitanism and Constitutional Self-Government” (2010) 8(3) </w:t>
            </w:r>
            <w:r w:rsidRPr="00E623E1">
              <w:rPr>
                <w:rFonts w:cs="Arial"/>
                <w:i/>
                <w:sz w:val="24"/>
                <w:szCs w:val="24"/>
              </w:rPr>
              <w:t>International Journal of Constitutional Law</w:t>
            </w:r>
            <w:r w:rsidRPr="00E623E1">
              <w:rPr>
                <w:rFonts w:cs="Arial"/>
                <w:sz w:val="24"/>
                <w:szCs w:val="24"/>
              </w:rPr>
              <w:t xml:space="preserve"> 344.</w:t>
            </w:r>
          </w:p>
          <w:p w14:paraId="4A6AF21F"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Loughlin, “The Constitutional Imagination” (2015) 78(1) </w:t>
            </w:r>
            <w:r w:rsidRPr="00E623E1">
              <w:rPr>
                <w:rFonts w:cs="Arial"/>
                <w:i/>
                <w:sz w:val="24"/>
                <w:szCs w:val="24"/>
              </w:rPr>
              <w:t>Modern Law Review</w:t>
            </w:r>
            <w:r w:rsidRPr="00E623E1">
              <w:rPr>
                <w:rFonts w:cs="Arial"/>
                <w:sz w:val="24"/>
                <w:szCs w:val="24"/>
              </w:rPr>
              <w:t xml:space="preserve"> 1.</w:t>
            </w:r>
          </w:p>
          <w:p w14:paraId="03D76582"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V. Jackson, “Constitutional Comparisons: Convergence, Resistance, Engagement” (2005) 119 </w:t>
            </w:r>
            <w:r w:rsidRPr="00E623E1">
              <w:rPr>
                <w:rFonts w:cs="Arial"/>
                <w:i/>
                <w:sz w:val="24"/>
                <w:szCs w:val="24"/>
              </w:rPr>
              <w:t>Harvard Law Review</w:t>
            </w:r>
            <w:r w:rsidRPr="00E623E1">
              <w:rPr>
                <w:rFonts w:cs="Arial"/>
                <w:sz w:val="24"/>
                <w:szCs w:val="24"/>
              </w:rPr>
              <w:t xml:space="preserve"> 109.</w:t>
            </w:r>
          </w:p>
          <w:p w14:paraId="795DE252"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Tushnet, “The Inevitable Globalization of Constitutional Law” (2009) 49 </w:t>
            </w:r>
            <w:r w:rsidRPr="00E623E1">
              <w:rPr>
                <w:rFonts w:cs="Arial"/>
                <w:i/>
                <w:sz w:val="24"/>
                <w:szCs w:val="24"/>
              </w:rPr>
              <w:t>Virginia Journal of International Law</w:t>
            </w:r>
            <w:r w:rsidRPr="00E623E1">
              <w:rPr>
                <w:rFonts w:cs="Arial"/>
                <w:sz w:val="24"/>
                <w:szCs w:val="24"/>
              </w:rPr>
              <w:t xml:space="preserve"> 998.</w:t>
            </w:r>
          </w:p>
          <w:p w14:paraId="21C0698A"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Rosenfeld, “Rethinking Constitutional Ordering in an Era of Legal and Ideological Pluralism” (2008) 6 </w:t>
            </w:r>
            <w:r w:rsidRPr="00E623E1">
              <w:rPr>
                <w:rFonts w:cs="Arial"/>
                <w:i/>
                <w:sz w:val="24"/>
                <w:szCs w:val="24"/>
              </w:rPr>
              <w:t xml:space="preserve">I.CON </w:t>
            </w:r>
            <w:r w:rsidRPr="00E623E1">
              <w:rPr>
                <w:rFonts w:cs="Arial"/>
                <w:sz w:val="24"/>
                <w:szCs w:val="24"/>
              </w:rPr>
              <w:t>415.</w:t>
            </w:r>
          </w:p>
          <w:p w14:paraId="6D9D8F73"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Rosenfeld, “Constitutional versus Administrative Ordering in an Era of Globalization and Privatization: Reflections on Sources of Legitimation in the Post-Westphalian Polity” (2011) 32 </w:t>
            </w:r>
            <w:r w:rsidRPr="00E623E1">
              <w:rPr>
                <w:rFonts w:cs="Arial"/>
                <w:i/>
                <w:sz w:val="24"/>
                <w:szCs w:val="24"/>
              </w:rPr>
              <w:t>Cardozo L Rev</w:t>
            </w:r>
            <w:r w:rsidRPr="00E623E1">
              <w:rPr>
                <w:rFonts w:cs="Arial"/>
                <w:sz w:val="24"/>
                <w:szCs w:val="24"/>
              </w:rPr>
              <w:t xml:space="preserve"> 2339.</w:t>
            </w:r>
          </w:p>
          <w:p w14:paraId="50951115"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N. Walker, “Reconciling MacCormick: Constitutional Pluralism and the Unity of Practical Reason” (2011) 24 </w:t>
            </w:r>
            <w:r w:rsidRPr="00E623E1">
              <w:rPr>
                <w:rFonts w:cs="Arial"/>
                <w:i/>
                <w:sz w:val="24"/>
                <w:szCs w:val="24"/>
              </w:rPr>
              <w:t>Ratio Juris</w:t>
            </w:r>
            <w:r w:rsidRPr="00E623E1">
              <w:rPr>
                <w:rFonts w:cs="Arial"/>
                <w:sz w:val="24"/>
                <w:szCs w:val="24"/>
              </w:rPr>
              <w:t xml:space="preserve"> 4.</w:t>
            </w:r>
          </w:p>
          <w:p w14:paraId="01BD3876"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D. Kelemen, “On the unsustainability of constitutional pluralism. European supremacy and the survival of the Eurozone” (2016) 23 </w:t>
            </w:r>
            <w:r w:rsidRPr="00E623E1">
              <w:rPr>
                <w:rFonts w:cs="Arial"/>
                <w:i/>
                <w:sz w:val="24"/>
                <w:szCs w:val="24"/>
              </w:rPr>
              <w:t>Maastricht J. Of Eur. And Comp. L.</w:t>
            </w:r>
            <w:r w:rsidRPr="00E623E1">
              <w:rPr>
                <w:rFonts w:cs="Arial"/>
                <w:sz w:val="24"/>
                <w:szCs w:val="24"/>
              </w:rPr>
              <w:t xml:space="preserve"> 136.</w:t>
            </w:r>
          </w:p>
          <w:p w14:paraId="532BB493"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Loughlin, “The misconceived search for global law” (2017) 8 (3) </w:t>
            </w:r>
            <w:r w:rsidRPr="00E623E1">
              <w:rPr>
                <w:rFonts w:cs="Arial"/>
                <w:i/>
                <w:sz w:val="24"/>
                <w:szCs w:val="24"/>
              </w:rPr>
              <w:t>Transnational Legal Theory</w:t>
            </w:r>
            <w:r w:rsidRPr="00E623E1">
              <w:rPr>
                <w:rFonts w:cs="Arial"/>
                <w:sz w:val="24"/>
                <w:szCs w:val="24"/>
              </w:rPr>
              <w:t xml:space="preserve"> 353.</w:t>
            </w:r>
          </w:p>
          <w:p w14:paraId="4EBB3D9A"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Loughlin, “The constitutional imagination” (2015) 78(1) </w:t>
            </w:r>
            <w:r w:rsidRPr="00E623E1">
              <w:rPr>
                <w:rFonts w:cs="Arial"/>
                <w:i/>
                <w:sz w:val="24"/>
                <w:szCs w:val="24"/>
              </w:rPr>
              <w:t>Modern Law Review</w:t>
            </w:r>
            <w:r w:rsidRPr="00E623E1">
              <w:rPr>
                <w:rFonts w:cs="Arial"/>
                <w:sz w:val="24"/>
                <w:szCs w:val="24"/>
              </w:rPr>
              <w:t xml:space="preserve"> 1.</w:t>
            </w:r>
          </w:p>
          <w:p w14:paraId="00371165"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Loughlin, “Constitutional pluralism: An oxymoron?” (2014) 3(1) </w:t>
            </w:r>
            <w:r w:rsidRPr="00E623E1">
              <w:rPr>
                <w:rFonts w:cs="Arial"/>
                <w:i/>
                <w:sz w:val="24"/>
                <w:szCs w:val="24"/>
              </w:rPr>
              <w:t xml:space="preserve">Global Constitutionalism </w:t>
            </w:r>
            <w:r w:rsidRPr="00E623E1">
              <w:rPr>
                <w:rFonts w:cs="Arial"/>
                <w:sz w:val="24"/>
                <w:szCs w:val="24"/>
              </w:rPr>
              <w:t>9.</w:t>
            </w:r>
          </w:p>
          <w:p w14:paraId="5BA2F800"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F. Fabbrini, “After the OMT Case: The Supremacy of EU Law as the Guarantee of the Equality of the Member States” (2015) 16 (4) </w:t>
            </w:r>
            <w:r w:rsidRPr="00E623E1">
              <w:rPr>
                <w:rFonts w:cs="Arial"/>
                <w:i/>
                <w:sz w:val="24"/>
                <w:szCs w:val="24"/>
              </w:rPr>
              <w:t>German L. J.</w:t>
            </w:r>
            <w:r w:rsidRPr="00E623E1">
              <w:rPr>
                <w:rFonts w:cs="Arial"/>
                <w:sz w:val="24"/>
                <w:szCs w:val="24"/>
              </w:rPr>
              <w:t xml:space="preserve"> 1003.</w:t>
            </w:r>
          </w:p>
          <w:p w14:paraId="16110D91"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G. Martinico, “Is the European Convention Going to Be ‘Supreme’? A Comparative-Constitutional Overview of ECHR and EU Law before National Courts” (2012) 23(2) </w:t>
            </w:r>
            <w:r w:rsidRPr="00E623E1">
              <w:rPr>
                <w:rFonts w:cs="Arial"/>
                <w:i/>
                <w:sz w:val="24"/>
                <w:szCs w:val="24"/>
              </w:rPr>
              <w:t>European Journal of International Law</w:t>
            </w:r>
            <w:r w:rsidRPr="00E623E1">
              <w:rPr>
                <w:rFonts w:cs="Arial"/>
                <w:sz w:val="24"/>
                <w:szCs w:val="24"/>
              </w:rPr>
              <w:t xml:space="preserve"> 401.</w:t>
            </w:r>
          </w:p>
          <w:p w14:paraId="27423551"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Claes and M. de Visser, “Are you networked yet? On dialogues in European judicial networks” (2012) 8 (2) </w:t>
            </w:r>
            <w:r w:rsidRPr="00E623E1">
              <w:rPr>
                <w:rFonts w:cs="Arial"/>
                <w:i/>
                <w:sz w:val="24"/>
                <w:szCs w:val="24"/>
              </w:rPr>
              <w:t>Utrecht L. Rev</w:t>
            </w:r>
            <w:r w:rsidRPr="00E623E1">
              <w:rPr>
                <w:rFonts w:cs="Arial"/>
                <w:sz w:val="24"/>
                <w:szCs w:val="24"/>
              </w:rPr>
              <w:t>. 100.</w:t>
            </w:r>
          </w:p>
          <w:p w14:paraId="32041C66"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Voßkuhle, “Multilevel cooperation of the European Constitutional Courts: Der Europäische Verfassungsgerichtsverbund” (2010) 6(2) </w:t>
            </w:r>
            <w:r w:rsidRPr="00E623E1">
              <w:rPr>
                <w:rFonts w:cs="Arial"/>
                <w:i/>
                <w:sz w:val="24"/>
                <w:szCs w:val="24"/>
              </w:rPr>
              <w:t>Eur. Const. L. Rev</w:t>
            </w:r>
            <w:r w:rsidRPr="00E623E1">
              <w:rPr>
                <w:rFonts w:cs="Arial"/>
                <w:sz w:val="24"/>
                <w:szCs w:val="24"/>
              </w:rPr>
              <w:t>. 175.</w:t>
            </w:r>
          </w:p>
          <w:p w14:paraId="62C242D4"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F-X. Millet, “How much lenience for how much cooperation? On the first preliminary reference of the French Constitutional Council to the Court of Justice” (2014) 51 </w:t>
            </w:r>
            <w:r w:rsidRPr="00E623E1">
              <w:rPr>
                <w:rFonts w:cs="Arial"/>
                <w:i/>
                <w:sz w:val="24"/>
                <w:szCs w:val="24"/>
              </w:rPr>
              <w:t>CMLRev.</w:t>
            </w:r>
            <w:r w:rsidRPr="00E623E1">
              <w:rPr>
                <w:rFonts w:cs="Arial"/>
                <w:sz w:val="24"/>
                <w:szCs w:val="24"/>
              </w:rPr>
              <w:t xml:space="preserve"> 195.</w:t>
            </w:r>
          </w:p>
          <w:p w14:paraId="518AADAF"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von Bogdandy and S. Schill, “Overcoming absolute primacy: Respect for national identity under the Lisbon Treaty” (2011) 48 </w:t>
            </w:r>
            <w:r w:rsidRPr="00E623E1">
              <w:rPr>
                <w:rFonts w:cs="Arial"/>
                <w:i/>
                <w:sz w:val="24"/>
                <w:szCs w:val="24"/>
              </w:rPr>
              <w:t>CMLRev.</w:t>
            </w:r>
            <w:r w:rsidRPr="00E623E1">
              <w:rPr>
                <w:rFonts w:cs="Arial"/>
                <w:sz w:val="24"/>
                <w:szCs w:val="24"/>
              </w:rPr>
              <w:t xml:space="preserve"> 1417.</w:t>
            </w:r>
          </w:p>
          <w:p w14:paraId="5035F747"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Wendel, “Judicial Restraint and the Return to Openness: The Decision of the German Federal Constitutional Court on the ESM and the Fiscal Treaty of 12 September 2012” (2013) 14 </w:t>
            </w:r>
            <w:r w:rsidRPr="00E623E1">
              <w:rPr>
                <w:rFonts w:cs="Arial"/>
                <w:i/>
                <w:sz w:val="24"/>
                <w:szCs w:val="24"/>
              </w:rPr>
              <w:t>German L.J.</w:t>
            </w:r>
            <w:r w:rsidRPr="00E623E1">
              <w:rPr>
                <w:rFonts w:cs="Arial"/>
                <w:sz w:val="24"/>
                <w:szCs w:val="24"/>
              </w:rPr>
              <w:t xml:space="preserve"> 21.</w:t>
            </w:r>
          </w:p>
          <w:p w14:paraId="415C3D6D"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Goldmann, “Constitutional Pluralism as Mutually Assured Discretion: The Court of Justice, the German Federal Constitutional Court, and the ECB” (2016) 23 </w:t>
            </w:r>
            <w:r w:rsidRPr="00E623E1">
              <w:rPr>
                <w:rFonts w:cs="Arial"/>
                <w:i/>
                <w:sz w:val="24"/>
                <w:szCs w:val="24"/>
              </w:rPr>
              <w:t>Maastricht J. Of Eur. And Comp. L.</w:t>
            </w:r>
            <w:r w:rsidRPr="00E623E1">
              <w:rPr>
                <w:rFonts w:cs="Arial"/>
                <w:sz w:val="24"/>
                <w:szCs w:val="24"/>
              </w:rPr>
              <w:t xml:space="preserve"> 119.</w:t>
            </w:r>
          </w:p>
          <w:p w14:paraId="0AAD6840"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N. Walker, “Constitutional pluralism revisited” (2016) 22(3) </w:t>
            </w:r>
            <w:r w:rsidRPr="00E623E1">
              <w:rPr>
                <w:rFonts w:cs="Arial"/>
                <w:i/>
                <w:sz w:val="24"/>
                <w:szCs w:val="24"/>
              </w:rPr>
              <w:t>Eur. L. Rev</w:t>
            </w:r>
            <w:r w:rsidRPr="00E623E1">
              <w:rPr>
                <w:rFonts w:cs="Arial"/>
                <w:sz w:val="24"/>
                <w:szCs w:val="24"/>
              </w:rPr>
              <w:t>. 333;</w:t>
            </w:r>
          </w:p>
          <w:p w14:paraId="39851713"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V. Perju, “Cosmopolitanism and Constitutional Self-Government” (2010) 8(3) </w:t>
            </w:r>
            <w:r w:rsidRPr="00E623E1">
              <w:rPr>
                <w:rFonts w:cs="Arial"/>
                <w:i/>
                <w:sz w:val="24"/>
                <w:szCs w:val="24"/>
              </w:rPr>
              <w:t>International Journal of Constitutional Law</w:t>
            </w:r>
            <w:r w:rsidRPr="00E623E1">
              <w:rPr>
                <w:rFonts w:cs="Arial"/>
                <w:sz w:val="24"/>
                <w:szCs w:val="24"/>
              </w:rPr>
              <w:t xml:space="preserve"> 344.</w:t>
            </w:r>
          </w:p>
          <w:p w14:paraId="41D2F3BE"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Stone Sweet, “A cosmopolitan legal order: Constitutional pluralism and rights adjudication in Europe” (2012) 1(1) </w:t>
            </w:r>
            <w:r w:rsidRPr="00E623E1">
              <w:rPr>
                <w:rFonts w:cs="Arial"/>
                <w:i/>
                <w:sz w:val="24"/>
                <w:szCs w:val="24"/>
              </w:rPr>
              <w:t>Global Constitutionalism</w:t>
            </w:r>
            <w:r w:rsidRPr="00E623E1">
              <w:rPr>
                <w:rFonts w:cs="Arial"/>
                <w:sz w:val="24"/>
                <w:szCs w:val="24"/>
              </w:rPr>
              <w:t xml:space="preserve"> 53.</w:t>
            </w:r>
          </w:p>
          <w:p w14:paraId="54DD9092"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Bobić, “Constitutional pluralism is not dead: An analysis of interactions between the European Court of Justice and constitutional courts of Member States” (2017) 18(6) </w:t>
            </w:r>
            <w:r w:rsidRPr="00E623E1">
              <w:rPr>
                <w:rFonts w:cs="Arial"/>
                <w:i/>
                <w:sz w:val="24"/>
                <w:szCs w:val="24"/>
              </w:rPr>
              <w:t>German L. J.</w:t>
            </w:r>
            <w:r w:rsidRPr="00E623E1">
              <w:rPr>
                <w:rFonts w:cs="Arial"/>
                <w:sz w:val="24"/>
                <w:szCs w:val="24"/>
              </w:rPr>
              <w:t xml:space="preserve"> 1396.</w:t>
            </w:r>
          </w:p>
          <w:p w14:paraId="530014FE"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L. Palandri, “Theoretical Reflections on Legal Pluralism and Global Constitutionalism: Their Possible Reconciliation in an Alternative Model of Plural Constitutionalism” (2013) 54(1) </w:t>
            </w:r>
            <w:r w:rsidRPr="00E623E1">
              <w:rPr>
                <w:rFonts w:cs="Arial"/>
                <w:i/>
                <w:sz w:val="24"/>
                <w:szCs w:val="24"/>
              </w:rPr>
              <w:t>Acta Juridica Hungarica</w:t>
            </w:r>
            <w:r w:rsidRPr="00E623E1">
              <w:rPr>
                <w:rFonts w:cs="Arial"/>
                <w:sz w:val="24"/>
                <w:szCs w:val="24"/>
              </w:rPr>
              <w:t xml:space="preserve"> 58.</w:t>
            </w:r>
          </w:p>
          <w:p w14:paraId="453239F3"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A. Peters, “The Merits of Global Constitutionalism” (2009) 16(2) </w:t>
            </w:r>
            <w:r w:rsidRPr="00E623E1">
              <w:rPr>
                <w:rFonts w:cs="Arial"/>
                <w:i/>
                <w:sz w:val="24"/>
                <w:szCs w:val="24"/>
              </w:rPr>
              <w:t>Indiana Journal of Global Legal Studies</w:t>
            </w:r>
            <w:r w:rsidRPr="00E623E1">
              <w:rPr>
                <w:rFonts w:cs="Arial"/>
                <w:sz w:val="24"/>
                <w:szCs w:val="24"/>
              </w:rPr>
              <w:t xml:space="preserve"> 397.</w:t>
            </w:r>
          </w:p>
          <w:p w14:paraId="32E60BC6"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M-S. Kuo, “Semantic Constitutionalism at the Fin de Siècle” (2014) 5(1) </w:t>
            </w:r>
            <w:r w:rsidRPr="00E623E1">
              <w:rPr>
                <w:rFonts w:cs="Arial"/>
                <w:i/>
                <w:sz w:val="24"/>
                <w:szCs w:val="24"/>
              </w:rPr>
              <w:t>Transnational Legal Theory</w:t>
            </w:r>
            <w:r w:rsidRPr="00E623E1">
              <w:rPr>
                <w:rFonts w:cs="Arial"/>
                <w:sz w:val="24"/>
                <w:szCs w:val="24"/>
              </w:rPr>
              <w:t xml:space="preserve"> 158.</w:t>
            </w:r>
          </w:p>
          <w:p w14:paraId="3E5E855E"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M. Wilkinson, “Constitutional Pluralism: Chronicle of a Death Foretold?” (2017) 23 </w:t>
            </w:r>
            <w:r w:rsidRPr="00E623E1">
              <w:rPr>
                <w:rFonts w:cs="Arial"/>
                <w:i/>
                <w:sz w:val="24"/>
                <w:szCs w:val="24"/>
              </w:rPr>
              <w:t>Eur. Law Journal</w:t>
            </w:r>
            <w:r w:rsidRPr="00E623E1">
              <w:rPr>
                <w:rFonts w:cs="Arial"/>
                <w:sz w:val="24"/>
                <w:szCs w:val="24"/>
              </w:rPr>
              <w:t xml:space="preserve"> 213.</w:t>
            </w:r>
          </w:p>
          <w:p w14:paraId="4B2F4A34" w14:textId="77777777" w:rsidR="00E50A74" w:rsidRPr="00E623E1" w:rsidRDefault="00E50A74" w:rsidP="004B0C30">
            <w:pPr>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E623E1">
              <w:rPr>
                <w:rFonts w:cs="Arial"/>
                <w:sz w:val="24"/>
                <w:szCs w:val="24"/>
              </w:rPr>
              <w:t xml:space="preserve">L. Pierdominici, “The Theory of Constitutional Pluralism: A Crisis in a Crisis?”, (2017) 9 (2) </w:t>
            </w:r>
            <w:r w:rsidRPr="00E623E1">
              <w:rPr>
                <w:rFonts w:cs="Arial"/>
                <w:i/>
                <w:sz w:val="24"/>
                <w:szCs w:val="24"/>
              </w:rPr>
              <w:t>Perspectives on Federalism</w:t>
            </w:r>
            <w:r w:rsidRPr="00E623E1">
              <w:rPr>
                <w:rFonts w:cs="Arial"/>
                <w:sz w:val="24"/>
                <w:szCs w:val="24"/>
              </w:rPr>
              <w:t xml:space="preserve"> 120.</w:t>
            </w:r>
          </w:p>
          <w:p w14:paraId="703E8BAC" w14:textId="77777777" w:rsidR="00E50A74" w:rsidRPr="00E623E1" w:rsidRDefault="00E50A74" w:rsidP="004B0C30">
            <w:p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E50A74" w:rsidRPr="00D1367E" w14:paraId="2DE6AAB4"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B10B17C"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Αξιολόγηση</w:t>
            </w:r>
          </w:p>
        </w:tc>
        <w:tc>
          <w:tcPr>
            <w:tcW w:w="6983" w:type="dxa"/>
            <w:gridSpan w:val="6"/>
            <w:noWrap/>
          </w:tcPr>
          <w:p w14:paraId="0A75A2A3" w14:textId="77777777" w:rsidR="00E50A74" w:rsidRPr="00587411" w:rsidRDefault="00E50A74" w:rsidP="004B0C30">
            <w:pPr>
              <w:spacing w:before="120" w:after="120"/>
              <w:jc w:val="both"/>
              <w:cnfStyle w:val="000000100000" w:firstRow="0" w:lastRow="0" w:firstColumn="0" w:lastColumn="0" w:oddVBand="0" w:evenVBand="0" w:oddHBand="1" w:evenHBand="0" w:firstRowFirstColumn="0" w:firstRowLastColumn="0" w:lastRowFirstColumn="0" w:lastRowLastColumn="0"/>
              <w:rPr>
                <w:rFonts w:cs="Arial"/>
                <w:sz w:val="24"/>
                <w:szCs w:val="24"/>
                <w:lang w:val="el-GR"/>
              </w:rPr>
            </w:pPr>
            <w:r w:rsidRPr="00587411">
              <w:rPr>
                <w:rFonts w:cs="Arial"/>
                <w:sz w:val="24"/>
                <w:szCs w:val="24"/>
                <w:lang w:val="el-GR"/>
              </w:rPr>
              <w:t xml:space="preserve">Α) </w:t>
            </w:r>
            <w:r w:rsidRPr="00587411">
              <w:rPr>
                <w:rFonts w:cs="Arial"/>
                <w:sz w:val="24"/>
                <w:szCs w:val="24"/>
              </w:rPr>
              <w:t>Reaction</w:t>
            </w:r>
            <w:r w:rsidRPr="00587411">
              <w:rPr>
                <w:rFonts w:cs="Arial"/>
                <w:sz w:val="24"/>
                <w:szCs w:val="24"/>
                <w:lang w:val="el-GR"/>
              </w:rPr>
              <w:t xml:space="preserve"> </w:t>
            </w:r>
            <w:r w:rsidRPr="00587411">
              <w:rPr>
                <w:rFonts w:cs="Arial"/>
                <w:sz w:val="24"/>
                <w:szCs w:val="24"/>
              </w:rPr>
              <w:t>paper</w:t>
            </w:r>
            <w:r w:rsidRPr="00587411">
              <w:rPr>
                <w:rFonts w:cs="Arial"/>
                <w:sz w:val="24"/>
                <w:szCs w:val="24"/>
                <w:lang w:val="el-GR"/>
              </w:rPr>
              <w:t>: κριτική παρουσίαση και σχολιασμός επιστημονικής μελέτης από κατάλογο που θα ανακοινωθεί (</w:t>
            </w:r>
            <w:r w:rsidRPr="00587411">
              <w:rPr>
                <w:rFonts w:cs="Arial"/>
                <w:sz w:val="24"/>
                <w:szCs w:val="24"/>
                <w:lang w:val="en-GB"/>
              </w:rPr>
              <w:t>reaction</w:t>
            </w:r>
            <w:r w:rsidRPr="00587411">
              <w:rPr>
                <w:rFonts w:cs="Arial"/>
                <w:sz w:val="24"/>
                <w:szCs w:val="24"/>
                <w:lang w:val="el-GR"/>
              </w:rPr>
              <w:t xml:space="preserve"> </w:t>
            </w:r>
            <w:r w:rsidRPr="00587411">
              <w:rPr>
                <w:rFonts w:cs="Arial"/>
                <w:sz w:val="24"/>
                <w:szCs w:val="24"/>
                <w:lang w:val="en-GB"/>
              </w:rPr>
              <w:t>paper</w:t>
            </w:r>
            <w:r w:rsidRPr="00587411">
              <w:rPr>
                <w:rFonts w:cs="Arial"/>
                <w:sz w:val="24"/>
                <w:szCs w:val="24"/>
                <w:lang w:val="el-GR"/>
              </w:rPr>
              <w:t>) (15 %)</w:t>
            </w:r>
          </w:p>
          <w:p w14:paraId="5DED10B8" w14:textId="77777777" w:rsidR="00E50A74" w:rsidRPr="00587411" w:rsidRDefault="00E50A74" w:rsidP="004B0C30">
            <w:pPr>
              <w:spacing w:before="120" w:after="120"/>
              <w:jc w:val="both"/>
              <w:cnfStyle w:val="000000100000" w:firstRow="0" w:lastRow="0" w:firstColumn="0" w:lastColumn="0" w:oddVBand="0" w:evenVBand="0" w:oddHBand="1" w:evenHBand="0" w:firstRowFirstColumn="0" w:firstRowLastColumn="0" w:lastRowFirstColumn="0" w:lastRowLastColumn="0"/>
              <w:rPr>
                <w:rFonts w:cs="Arial"/>
                <w:sz w:val="24"/>
                <w:szCs w:val="24"/>
                <w:lang w:val="el-GR"/>
              </w:rPr>
            </w:pPr>
            <w:r w:rsidRPr="00587411">
              <w:rPr>
                <w:rFonts w:cs="Arial"/>
                <w:sz w:val="24"/>
                <w:szCs w:val="24"/>
                <w:lang w:val="el-GR"/>
              </w:rPr>
              <w:t xml:space="preserve">Β) </w:t>
            </w:r>
            <w:r w:rsidRPr="00587411">
              <w:rPr>
                <w:rFonts w:cs="Arial"/>
                <w:sz w:val="24"/>
                <w:szCs w:val="24"/>
              </w:rPr>
              <w:t>Case</w:t>
            </w:r>
            <w:r w:rsidRPr="00587411">
              <w:rPr>
                <w:rFonts w:cs="Arial"/>
                <w:sz w:val="24"/>
                <w:szCs w:val="24"/>
                <w:lang w:val="el-GR"/>
              </w:rPr>
              <w:t xml:space="preserve"> </w:t>
            </w:r>
            <w:r w:rsidRPr="00587411">
              <w:rPr>
                <w:rFonts w:cs="Arial"/>
                <w:sz w:val="24"/>
                <w:szCs w:val="24"/>
              </w:rPr>
              <w:t>Analysis</w:t>
            </w:r>
            <w:r w:rsidRPr="00587411">
              <w:rPr>
                <w:rFonts w:cs="Arial"/>
                <w:sz w:val="24"/>
                <w:szCs w:val="24"/>
                <w:lang w:val="el-GR"/>
              </w:rPr>
              <w:t xml:space="preserve">: κριτική παρουσίαση και σχολιασμός δικαστικής απόφασης </w:t>
            </w:r>
            <w:r w:rsidRPr="00587411">
              <w:rPr>
                <w:rFonts w:cs="Arial"/>
                <w:bCs/>
                <w:sz w:val="24"/>
                <w:szCs w:val="24"/>
                <w:lang w:val="el-GR"/>
              </w:rPr>
              <w:t>του ΔΕΕ ή του Γενικού Δικαστηρίου</w:t>
            </w:r>
            <w:r w:rsidRPr="00587411">
              <w:rPr>
                <w:rFonts w:cs="Arial"/>
                <w:sz w:val="24"/>
                <w:szCs w:val="24"/>
                <w:lang w:val="el-GR"/>
              </w:rPr>
              <w:t xml:space="preserve"> σχετικής με ενότητα του μαθήματος (</w:t>
            </w:r>
            <w:r w:rsidRPr="00587411">
              <w:rPr>
                <w:rFonts w:cs="Arial"/>
                <w:sz w:val="24"/>
                <w:szCs w:val="24"/>
                <w:lang w:val="en-GB"/>
              </w:rPr>
              <w:t>case</w:t>
            </w:r>
            <w:r w:rsidRPr="00587411">
              <w:rPr>
                <w:rFonts w:cs="Arial"/>
                <w:sz w:val="24"/>
                <w:szCs w:val="24"/>
                <w:lang w:val="el-GR"/>
              </w:rPr>
              <w:t xml:space="preserve"> </w:t>
            </w:r>
            <w:r w:rsidRPr="00587411">
              <w:rPr>
                <w:rFonts w:cs="Arial"/>
                <w:sz w:val="24"/>
                <w:szCs w:val="24"/>
                <w:lang w:val="en-GB"/>
              </w:rPr>
              <w:t>note</w:t>
            </w:r>
            <w:r w:rsidRPr="00587411">
              <w:rPr>
                <w:rFonts w:cs="Arial"/>
                <w:sz w:val="24"/>
                <w:szCs w:val="24"/>
                <w:lang w:val="el-GR"/>
              </w:rPr>
              <w:t>) (15%)</w:t>
            </w:r>
          </w:p>
          <w:p w14:paraId="6AA743F3" w14:textId="77777777" w:rsidR="00E50A74" w:rsidRPr="00587411" w:rsidRDefault="00E50A74" w:rsidP="004B0C30">
            <w:pPr>
              <w:pStyle w:val="ListParagraph"/>
              <w:spacing w:before="120" w:after="120"/>
              <w:ind w:left="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587411">
              <w:rPr>
                <w:rFonts w:cs="Arial"/>
                <w:sz w:val="24"/>
                <w:szCs w:val="24"/>
                <w:lang w:val="el-GR"/>
              </w:rPr>
              <w:t>Γ) Ερευνητική εργασία 5000 λέξεων σε αντικείμενο από κατάλογο που θα ανακοινωθεί (70%)</w:t>
            </w:r>
          </w:p>
        </w:tc>
      </w:tr>
      <w:tr w:rsidR="00E50A74" w:rsidRPr="00296DA9" w14:paraId="5498DD5C"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52F84AD" w14:textId="77777777" w:rsidR="00E50A74" w:rsidRPr="00296DA9" w:rsidRDefault="00E50A74" w:rsidP="004B0C30">
            <w:pPr>
              <w:spacing w:before="120" w:after="120"/>
              <w:rPr>
                <w:rFonts w:cs="Times New Roman"/>
                <w:sz w:val="24"/>
                <w:szCs w:val="24"/>
                <w:lang w:val="el-GR" w:eastAsia="en-GB"/>
              </w:rPr>
            </w:pPr>
            <w:r w:rsidRPr="00296DA9">
              <w:rPr>
                <w:rFonts w:cs="Times New Roman"/>
                <w:sz w:val="24"/>
                <w:szCs w:val="24"/>
                <w:lang w:val="el-GR" w:eastAsia="en-GB"/>
              </w:rPr>
              <w:t>Γλώσσα</w:t>
            </w:r>
          </w:p>
        </w:tc>
        <w:tc>
          <w:tcPr>
            <w:tcW w:w="6983" w:type="dxa"/>
            <w:gridSpan w:val="6"/>
            <w:noWrap/>
          </w:tcPr>
          <w:p w14:paraId="0B0186B1" w14:textId="77777777" w:rsidR="00E50A74" w:rsidRPr="00296DA9" w:rsidRDefault="00E50A74" w:rsidP="004B0C30">
            <w:p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Pr>
                <w:rFonts w:cs="Times New Roman"/>
                <w:sz w:val="24"/>
                <w:szCs w:val="24"/>
                <w:lang w:val="el-GR"/>
              </w:rPr>
              <w:t>Ελληνική</w:t>
            </w:r>
          </w:p>
        </w:tc>
      </w:tr>
    </w:tbl>
    <w:p w14:paraId="6325C9BE" w14:textId="77777777" w:rsidR="00C242F7" w:rsidRPr="00E50A74" w:rsidRDefault="00E50A74" w:rsidP="00E50A74">
      <w:bookmarkStart w:id="2" w:name="_GoBack"/>
      <w:bookmarkEnd w:id="2"/>
    </w:p>
    <w:sectPr w:rsidR="00C242F7" w:rsidRPr="00E50A74" w:rsidSect="007F408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8660D"/>
    <w:multiLevelType w:val="hybridMultilevel"/>
    <w:tmpl w:val="49B2B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87194"/>
    <w:multiLevelType w:val="hybridMultilevel"/>
    <w:tmpl w:val="9B14E746"/>
    <w:lvl w:ilvl="0" w:tplc="006C99E2">
      <w:start w:val="1"/>
      <w:numFmt w:val="decimal"/>
      <w:lvlText w:val="%1."/>
      <w:lvlJc w:val="left"/>
      <w:pPr>
        <w:tabs>
          <w:tab w:val="num" w:pos="720"/>
        </w:tabs>
        <w:ind w:left="720" w:hanging="360"/>
      </w:pPr>
      <w:rPr>
        <w:rFonts w:cs="Times New Roman"/>
        <w:b w:val="0"/>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2DB52656"/>
    <w:multiLevelType w:val="hybridMultilevel"/>
    <w:tmpl w:val="F322183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43014B5E"/>
    <w:multiLevelType w:val="hybridMultilevel"/>
    <w:tmpl w:val="1FFC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534340"/>
    <w:multiLevelType w:val="hybridMultilevel"/>
    <w:tmpl w:val="40E2919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88499B"/>
    <w:multiLevelType w:val="hybridMultilevel"/>
    <w:tmpl w:val="08DC4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6D5289"/>
    <w:multiLevelType w:val="hybridMultilevel"/>
    <w:tmpl w:val="5BEAB9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778"/>
    <w:rsid w:val="00104778"/>
    <w:rsid w:val="0011062B"/>
    <w:rsid w:val="004F1779"/>
    <w:rsid w:val="00521159"/>
    <w:rsid w:val="007B7897"/>
    <w:rsid w:val="007F408D"/>
    <w:rsid w:val="00857D53"/>
    <w:rsid w:val="009A5126"/>
    <w:rsid w:val="009B02EB"/>
    <w:rsid w:val="00BC3FC6"/>
    <w:rsid w:val="00C603AF"/>
    <w:rsid w:val="00E50A74"/>
    <w:rsid w:val="00F6418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3CCCF6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04778"/>
    <w:pPr>
      <w:spacing w:before="200" w:after="200" w:line="276" w:lineRule="auto"/>
    </w:pPr>
    <w:rPr>
      <w:rFonts w:eastAsiaTheme="minorEastAsia"/>
      <w:sz w:val="20"/>
      <w:szCs w:val="20"/>
    </w:rPr>
  </w:style>
  <w:style w:type="paragraph" w:styleId="Heading1">
    <w:name w:val="heading 1"/>
    <w:basedOn w:val="Normal"/>
    <w:next w:val="Normal"/>
    <w:link w:val="Heading1Char"/>
    <w:uiPriority w:val="9"/>
    <w:qFormat/>
    <w:rsid w:val="0010477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047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04778"/>
    <w:rPr>
      <w:caps/>
      <w:color w:val="1F3763" w:themeColor="accent1" w:themeShade="7F"/>
      <w:spacing w:val="5"/>
    </w:rPr>
  </w:style>
  <w:style w:type="paragraph" w:styleId="ListParagraph">
    <w:name w:val="List Paragraph"/>
    <w:basedOn w:val="Normal"/>
    <w:uiPriority w:val="34"/>
    <w:qFormat/>
    <w:rsid w:val="00104778"/>
    <w:pPr>
      <w:ind w:left="720"/>
      <w:contextualSpacing/>
    </w:pPr>
  </w:style>
  <w:style w:type="character" w:customStyle="1" w:styleId="Heading1Char">
    <w:name w:val="Heading 1 Char"/>
    <w:basedOn w:val="DefaultParagraphFont"/>
    <w:link w:val="Heading1"/>
    <w:uiPriority w:val="9"/>
    <w:rsid w:val="00104778"/>
    <w:rPr>
      <w:rFonts w:asciiTheme="majorHAnsi" w:eastAsiaTheme="majorEastAsia" w:hAnsiTheme="majorHAnsi" w:cstheme="majorBidi"/>
      <w:color w:val="2F5496" w:themeColor="accent1" w:themeShade="BF"/>
      <w:sz w:val="32"/>
      <w:szCs w:val="32"/>
    </w:rPr>
  </w:style>
  <w:style w:type="paragraph" w:styleId="TOCHeading">
    <w:name w:val="TOC Heading"/>
    <w:aliases w:val="mathimata"/>
    <w:basedOn w:val="Heading2"/>
    <w:next w:val="Normal"/>
    <w:uiPriority w:val="39"/>
    <w:unhideWhenUsed/>
    <w:qFormat/>
    <w:rsid w:val="00104778"/>
    <w:pPr>
      <w:keepNext w:val="0"/>
      <w:keepLines w:val="0"/>
      <w:shd w:val="clear" w:color="auto" w:fill="DEEAF6" w:themeFill="accent5" w:themeFillTint="33"/>
      <w:spacing w:before="200"/>
      <w:jc w:val="both"/>
      <w:outlineLvl w:val="9"/>
    </w:pPr>
    <w:rPr>
      <w:rFonts w:asciiTheme="minorHAnsi" w:eastAsiaTheme="minorEastAsia" w:hAnsiTheme="minorHAnsi" w:cstheme="minorBidi"/>
      <w:caps/>
      <w:spacing w:val="15"/>
      <w:sz w:val="24"/>
      <w:szCs w:val="22"/>
    </w:rPr>
  </w:style>
  <w:style w:type="table" w:styleId="PlainTable1">
    <w:name w:val="Plain Table 1"/>
    <w:basedOn w:val="TableNormal"/>
    <w:uiPriority w:val="41"/>
    <w:rsid w:val="00104778"/>
    <w:pPr>
      <w:spacing w:before="200"/>
    </w:pPr>
    <w:rPr>
      <w:rFonts w:eastAsiaTheme="minorEastAsia"/>
      <w:sz w:val="22"/>
      <w:szCs w:val="22"/>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Indent">
    <w:name w:val="Body Text Indent"/>
    <w:basedOn w:val="Normal"/>
    <w:link w:val="BodyTextIndentChar"/>
    <w:uiPriority w:val="99"/>
    <w:unhideWhenUsed/>
    <w:rsid w:val="00104778"/>
    <w:pPr>
      <w:spacing w:after="120"/>
      <w:ind w:left="283"/>
    </w:pPr>
  </w:style>
  <w:style w:type="character" w:customStyle="1" w:styleId="BodyTextIndentChar">
    <w:name w:val="Body Text Indent Char"/>
    <w:basedOn w:val="DefaultParagraphFont"/>
    <w:link w:val="BodyTextIndent"/>
    <w:uiPriority w:val="99"/>
    <w:rsid w:val="00104778"/>
    <w:rPr>
      <w:rFonts w:eastAsiaTheme="minorEastAsia"/>
      <w:sz w:val="20"/>
      <w:szCs w:val="20"/>
    </w:rPr>
  </w:style>
  <w:style w:type="paragraph" w:styleId="HTMLPreformatted">
    <w:name w:val="HTML Preformatted"/>
    <w:basedOn w:val="Normal"/>
    <w:link w:val="HTMLPreformattedChar"/>
    <w:uiPriority w:val="99"/>
    <w:unhideWhenUsed/>
    <w:rsid w:val="00104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uiPriority w:val="99"/>
    <w:rsid w:val="00104778"/>
    <w:rPr>
      <w:rFonts w:ascii="Courier New" w:eastAsia="Times New Roman" w:hAnsi="Courier New" w:cs="Courier New"/>
      <w:sz w:val="20"/>
      <w:szCs w:val="20"/>
      <w:lang w:val="en-GB"/>
    </w:rPr>
  </w:style>
  <w:style w:type="character" w:customStyle="1" w:styleId="Heading2Char">
    <w:name w:val="Heading 2 Char"/>
    <w:basedOn w:val="DefaultParagraphFont"/>
    <w:link w:val="Heading2"/>
    <w:uiPriority w:val="9"/>
    <w:semiHidden/>
    <w:rsid w:val="0010477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1940</Words>
  <Characters>11064</Characters>
  <Application>Microsoft Macintosh Word</Application>
  <DocSecurity>0</DocSecurity>
  <Lines>92</Lines>
  <Paragraphs>25</Paragraphs>
  <ScaleCrop>false</ScaleCrop>
  <LinksUpToDate>false</LinksUpToDate>
  <CharactersWithSpaces>12979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Aris Constantinides</dc:creator>
  <cp:keywords/>
  <dc:description/>
  <cp:lastModifiedBy>Aris Constantinides</cp:lastModifiedBy>
  <cp:revision>3</cp:revision>
  <dcterms:created xsi:type="dcterms:W3CDTF">2018-08-19T16:21:00Z</dcterms:created>
  <dcterms:modified xsi:type="dcterms:W3CDTF">2018-08-19T16:25:00Z</dcterms:modified>
</cp:coreProperties>
</file>