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B33C8" w14:textId="77777777" w:rsidR="0065731A" w:rsidRPr="00E8136B" w:rsidRDefault="0065731A" w:rsidP="0065731A">
      <w:pPr>
        <w:pStyle w:val="TOCHeading"/>
        <w:rPr>
          <w:lang w:val="el-GR"/>
        </w:rPr>
      </w:pPr>
      <w:r w:rsidRPr="00296DA9">
        <w:rPr>
          <w:lang w:val="el-GR"/>
        </w:rPr>
        <w:t xml:space="preserve">NOM 508 </w:t>
      </w:r>
      <w:r>
        <w:rPr>
          <w:szCs w:val="24"/>
          <w:lang w:val="el-GR"/>
        </w:rPr>
        <w:t>ΘΕΜΕΛΙΩΔΕΙΣ</w:t>
      </w:r>
      <w:r w:rsidRPr="00296DA9">
        <w:rPr>
          <w:szCs w:val="24"/>
          <w:lang w:val="el-GR"/>
        </w:rPr>
        <w:t xml:space="preserve"> Αρχές</w:t>
      </w:r>
      <w:r>
        <w:rPr>
          <w:szCs w:val="24"/>
          <w:lang w:val="el-GR"/>
        </w:rPr>
        <w:t xml:space="preserve"> ΤΟΥ ΔΙΚΑΙΟΥ της ΕΥΡΩΠΑΪΚΗΣ ΕΝΩΣΗΣ</w:t>
      </w:r>
    </w:p>
    <w:tbl>
      <w:tblPr>
        <w:tblStyle w:val="PlainTable1"/>
        <w:tblW w:w="8963" w:type="dxa"/>
        <w:tblLayout w:type="fixed"/>
        <w:tblLook w:val="04A0" w:firstRow="1" w:lastRow="0" w:firstColumn="1" w:lastColumn="0" w:noHBand="0" w:noVBand="1"/>
      </w:tblPr>
      <w:tblGrid>
        <w:gridCol w:w="1980"/>
        <w:gridCol w:w="1134"/>
        <w:gridCol w:w="1417"/>
        <w:gridCol w:w="2268"/>
        <w:gridCol w:w="1418"/>
        <w:gridCol w:w="746"/>
      </w:tblGrid>
      <w:tr w:rsidR="0065731A" w:rsidRPr="00296DA9" w14:paraId="2BD2D3C3" w14:textId="77777777" w:rsidTr="004B0C3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EDE7D9D" w14:textId="77777777" w:rsidR="0065731A" w:rsidRPr="00296DA9" w:rsidRDefault="0065731A" w:rsidP="004B0C30">
            <w:pPr>
              <w:spacing w:before="120" w:after="120"/>
              <w:rPr>
                <w:rFonts w:cs="Times New Roman"/>
                <w:sz w:val="24"/>
                <w:szCs w:val="24"/>
                <w:lang w:val="el-GR" w:eastAsia="en-GB"/>
              </w:rPr>
            </w:pPr>
            <w:r w:rsidRPr="00296DA9">
              <w:rPr>
                <w:rFonts w:cs="Times New Roman"/>
                <w:sz w:val="24"/>
                <w:szCs w:val="24"/>
                <w:lang w:val="el-GR" w:eastAsia="en-GB"/>
              </w:rPr>
              <w:t>Τύπος Μαθήματος</w:t>
            </w:r>
          </w:p>
        </w:tc>
        <w:tc>
          <w:tcPr>
            <w:tcW w:w="6983" w:type="dxa"/>
            <w:gridSpan w:val="5"/>
            <w:noWrap/>
          </w:tcPr>
          <w:p w14:paraId="2885B08D" w14:textId="77777777" w:rsidR="0065731A" w:rsidRPr="00296DA9" w:rsidRDefault="0065731A" w:rsidP="004B0C30">
            <w:pPr>
              <w:spacing w:before="120" w:after="120"/>
              <w:cnfStyle w:val="100000000000" w:firstRow="1" w:lastRow="0" w:firstColumn="0" w:lastColumn="0" w:oddVBand="0" w:evenVBand="0" w:oddHBand="0" w:evenHBand="0" w:firstRowFirstColumn="0" w:firstRowLastColumn="0" w:lastRowFirstColumn="0" w:lastRowLastColumn="0"/>
              <w:rPr>
                <w:rFonts w:cs="Times New Roman"/>
                <w:b w:val="0"/>
                <w:sz w:val="24"/>
                <w:szCs w:val="24"/>
                <w:lang w:val="el-GR" w:eastAsia="en-GB"/>
              </w:rPr>
            </w:pPr>
            <w:r w:rsidRPr="00296DA9">
              <w:rPr>
                <w:rFonts w:cs="Times New Roman"/>
                <w:b w:val="0"/>
                <w:sz w:val="24"/>
                <w:szCs w:val="24"/>
                <w:lang w:val="el-GR" w:eastAsia="en-GB"/>
              </w:rPr>
              <w:t>Κορμού</w:t>
            </w:r>
          </w:p>
        </w:tc>
      </w:tr>
      <w:tr w:rsidR="0065731A" w:rsidRPr="00296DA9" w14:paraId="756AE3D9" w14:textId="77777777" w:rsidTr="004B0C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2129EB4" w14:textId="77777777" w:rsidR="0065731A" w:rsidRPr="00296DA9" w:rsidRDefault="0065731A" w:rsidP="004B0C30">
            <w:pPr>
              <w:spacing w:before="120" w:after="120"/>
              <w:rPr>
                <w:rFonts w:cs="Times New Roman"/>
                <w:sz w:val="24"/>
                <w:szCs w:val="24"/>
                <w:lang w:val="el-GR" w:eastAsia="en-GB"/>
              </w:rPr>
            </w:pPr>
            <w:r w:rsidRPr="00296DA9">
              <w:rPr>
                <w:rFonts w:cs="Times New Roman"/>
                <w:sz w:val="24"/>
                <w:szCs w:val="24"/>
                <w:lang w:val="el-GR" w:eastAsia="en-GB"/>
              </w:rPr>
              <w:t>Επίπεδο</w:t>
            </w:r>
          </w:p>
        </w:tc>
        <w:tc>
          <w:tcPr>
            <w:tcW w:w="6983" w:type="dxa"/>
            <w:gridSpan w:val="5"/>
            <w:noWrap/>
          </w:tcPr>
          <w:p w14:paraId="2F5F4871" w14:textId="77777777" w:rsidR="0065731A" w:rsidRPr="00296DA9" w:rsidRDefault="0065731A"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296DA9">
              <w:rPr>
                <w:rFonts w:cs="Times New Roman"/>
                <w:sz w:val="24"/>
                <w:szCs w:val="24"/>
                <w:lang w:val="el-GR"/>
              </w:rPr>
              <w:t>Μεταπτυχιακό</w:t>
            </w:r>
          </w:p>
        </w:tc>
      </w:tr>
      <w:tr w:rsidR="0065731A" w:rsidRPr="00296DA9" w14:paraId="2B838CC6"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0B40301" w14:textId="77777777" w:rsidR="0065731A" w:rsidRPr="00296DA9" w:rsidRDefault="0065731A" w:rsidP="004B0C30">
            <w:pPr>
              <w:spacing w:before="120" w:after="120"/>
              <w:rPr>
                <w:rFonts w:cs="Times New Roman"/>
                <w:sz w:val="24"/>
                <w:szCs w:val="24"/>
                <w:lang w:val="el-GR" w:eastAsia="en-GB"/>
              </w:rPr>
            </w:pPr>
            <w:r w:rsidRPr="00296DA9">
              <w:rPr>
                <w:rFonts w:cs="Times New Roman"/>
                <w:sz w:val="24"/>
                <w:szCs w:val="24"/>
                <w:lang w:val="el-GR" w:eastAsia="en-GB"/>
              </w:rPr>
              <w:t>Έτος/ Εξάμηνο φοίτησης</w:t>
            </w:r>
          </w:p>
        </w:tc>
        <w:tc>
          <w:tcPr>
            <w:tcW w:w="6983" w:type="dxa"/>
            <w:gridSpan w:val="5"/>
            <w:noWrap/>
          </w:tcPr>
          <w:p w14:paraId="34E40AEA" w14:textId="77777777" w:rsidR="0065731A" w:rsidRPr="00296DA9" w:rsidRDefault="0065731A"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Πρώτος Χρόνος/Πρώτο Εξάμηνο</w:t>
            </w:r>
          </w:p>
        </w:tc>
      </w:tr>
      <w:tr w:rsidR="0065731A" w:rsidRPr="00296DA9" w14:paraId="355733A3" w14:textId="77777777" w:rsidTr="004B0C3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0" w:type="dxa"/>
          </w:tcPr>
          <w:p w14:paraId="70BC52A1" w14:textId="77777777" w:rsidR="0065731A" w:rsidRPr="00296DA9" w:rsidRDefault="0065731A" w:rsidP="004B0C30">
            <w:pPr>
              <w:spacing w:before="120" w:after="120"/>
              <w:rPr>
                <w:rFonts w:cs="Times New Roman"/>
                <w:sz w:val="24"/>
                <w:szCs w:val="24"/>
                <w:lang w:val="el-GR" w:eastAsia="en-GB"/>
              </w:rPr>
            </w:pPr>
            <w:r w:rsidRPr="00296DA9">
              <w:rPr>
                <w:rFonts w:cs="Times New Roman"/>
                <w:sz w:val="24"/>
                <w:szCs w:val="24"/>
                <w:lang w:val="el-GR" w:eastAsia="en-GB"/>
              </w:rPr>
              <w:t>Όνομα Διδάσκοντα</w:t>
            </w:r>
          </w:p>
        </w:tc>
        <w:tc>
          <w:tcPr>
            <w:tcW w:w="6983" w:type="dxa"/>
            <w:gridSpan w:val="5"/>
            <w:noWrap/>
          </w:tcPr>
          <w:p w14:paraId="03BAEE5E" w14:textId="77777777" w:rsidR="0065731A" w:rsidRPr="00296DA9" w:rsidRDefault="0065731A"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Pr>
                <w:rFonts w:cs="Times New Roman"/>
                <w:sz w:val="24"/>
                <w:szCs w:val="24"/>
                <w:lang w:val="el-GR" w:eastAsia="en-GB"/>
              </w:rPr>
              <w:t>Ιωάννα Χατζηγιάννη</w:t>
            </w:r>
            <w:r w:rsidRPr="00296DA9">
              <w:rPr>
                <w:rFonts w:cs="Times New Roman"/>
                <w:sz w:val="24"/>
                <w:szCs w:val="24"/>
                <w:lang w:val="el-GR" w:eastAsia="en-GB"/>
              </w:rPr>
              <w:t xml:space="preserve"> </w:t>
            </w:r>
          </w:p>
        </w:tc>
      </w:tr>
      <w:tr w:rsidR="0065731A" w:rsidRPr="00296DA9" w14:paraId="248F6B4E"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6D64C37D" w14:textId="77777777" w:rsidR="0065731A" w:rsidRPr="00296DA9" w:rsidRDefault="0065731A" w:rsidP="004B0C30">
            <w:pPr>
              <w:spacing w:before="120" w:after="120"/>
              <w:rPr>
                <w:rFonts w:cs="Times New Roman"/>
                <w:sz w:val="24"/>
                <w:szCs w:val="24"/>
                <w:lang w:val="el-GR" w:eastAsia="en-GB"/>
              </w:rPr>
            </w:pPr>
            <w:r w:rsidRPr="00296DA9">
              <w:rPr>
                <w:rFonts w:cs="Times New Roman"/>
                <w:sz w:val="24"/>
                <w:szCs w:val="24"/>
                <w:lang w:val="el-GR" w:eastAsia="en-GB"/>
              </w:rPr>
              <w:t>ECTS</w:t>
            </w:r>
          </w:p>
        </w:tc>
        <w:tc>
          <w:tcPr>
            <w:tcW w:w="1134" w:type="dxa"/>
          </w:tcPr>
          <w:p w14:paraId="4DAC72FE" w14:textId="77777777" w:rsidR="0065731A" w:rsidRPr="00296DA9" w:rsidRDefault="0065731A"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15</w:t>
            </w:r>
          </w:p>
        </w:tc>
        <w:tc>
          <w:tcPr>
            <w:tcW w:w="1417" w:type="dxa"/>
          </w:tcPr>
          <w:p w14:paraId="6BC4595B" w14:textId="77777777" w:rsidR="0065731A" w:rsidRPr="00296DA9" w:rsidRDefault="0065731A"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Διαλέξεις/ Εβδομάδα</w:t>
            </w:r>
          </w:p>
        </w:tc>
        <w:tc>
          <w:tcPr>
            <w:tcW w:w="2268" w:type="dxa"/>
          </w:tcPr>
          <w:p w14:paraId="66A4E527" w14:textId="77777777" w:rsidR="0065731A" w:rsidRPr="00296DA9" w:rsidRDefault="0065731A"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1/</w:t>
            </w:r>
          </w:p>
          <w:p w14:paraId="5EF7F4FD" w14:textId="77777777" w:rsidR="0065731A" w:rsidRPr="00296DA9" w:rsidRDefault="0065731A"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εβδομάδα</w:t>
            </w:r>
          </w:p>
        </w:tc>
        <w:tc>
          <w:tcPr>
            <w:tcW w:w="1418" w:type="dxa"/>
          </w:tcPr>
          <w:p w14:paraId="697E765C" w14:textId="77777777" w:rsidR="0065731A" w:rsidRPr="00296DA9" w:rsidRDefault="0065731A"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b/>
                <w:sz w:val="24"/>
                <w:szCs w:val="24"/>
                <w:lang w:val="el-GR" w:eastAsia="en-GB"/>
              </w:rPr>
            </w:pPr>
            <w:r w:rsidRPr="00296DA9">
              <w:rPr>
                <w:rFonts w:cs="Times New Roman"/>
                <w:b/>
                <w:sz w:val="24"/>
                <w:szCs w:val="24"/>
                <w:lang w:val="el-GR" w:eastAsia="en-GB"/>
              </w:rPr>
              <w:t>Εργαστήρια/ Εβδομάδα</w:t>
            </w:r>
          </w:p>
        </w:tc>
        <w:tc>
          <w:tcPr>
            <w:tcW w:w="746" w:type="dxa"/>
          </w:tcPr>
          <w:p w14:paraId="338F8934" w14:textId="77777777" w:rsidR="0065731A" w:rsidRPr="00296DA9" w:rsidRDefault="0065731A" w:rsidP="004B0C30">
            <w:pPr>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5731A" w:rsidRPr="00D1367E" w14:paraId="45F7F883" w14:textId="77777777" w:rsidTr="004B0C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2D1459E4" w14:textId="77777777" w:rsidR="0065731A" w:rsidRPr="00296DA9" w:rsidRDefault="0065731A" w:rsidP="004B0C30">
            <w:pPr>
              <w:spacing w:before="120" w:after="120"/>
              <w:rPr>
                <w:rFonts w:cs="Times New Roman"/>
                <w:sz w:val="24"/>
                <w:szCs w:val="24"/>
                <w:lang w:val="el-GR" w:eastAsia="en-GB"/>
              </w:rPr>
            </w:pPr>
            <w:r w:rsidRPr="00296DA9">
              <w:rPr>
                <w:rFonts w:cs="Times New Roman"/>
                <w:sz w:val="24"/>
                <w:szCs w:val="24"/>
                <w:lang w:val="el-GR" w:eastAsia="en-GB"/>
              </w:rPr>
              <w:t>Στόχοι Μαθήματος</w:t>
            </w:r>
          </w:p>
        </w:tc>
        <w:tc>
          <w:tcPr>
            <w:tcW w:w="6983" w:type="dxa"/>
            <w:gridSpan w:val="5"/>
            <w:noWrap/>
          </w:tcPr>
          <w:p w14:paraId="00C94F68" w14:textId="77777777" w:rsidR="0065731A" w:rsidRPr="004627B1" w:rsidRDefault="0065731A" w:rsidP="004B0C30">
            <w:p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bCs/>
                <w:iCs/>
                <w:sz w:val="24"/>
                <w:szCs w:val="24"/>
                <w:lang w:val="el-GR"/>
              </w:rPr>
            </w:pPr>
            <w:r w:rsidRPr="004627B1">
              <w:rPr>
                <w:rFonts w:cs="Times New Roman"/>
                <w:sz w:val="24"/>
                <w:szCs w:val="24"/>
                <w:lang w:val="el-GR"/>
              </w:rPr>
              <w:t xml:space="preserve">Το μάθημα αποσκοπεί στη δημιουργία ενός κοινού επιπέδου γνώσης των θεμελιωδών αρχών του δικαίου της ΕΕ για όλους τους φοιτητές του μεταπτυχιακού προγράμματος, κτίζοντας στην </w:t>
            </w:r>
            <w:proofErr w:type="spellStart"/>
            <w:r w:rsidRPr="004627B1">
              <w:rPr>
                <w:rFonts w:cs="Times New Roman"/>
                <w:sz w:val="24"/>
                <w:szCs w:val="24"/>
                <w:lang w:val="el-GR"/>
              </w:rPr>
              <w:t>προϋπάρχουσα</w:t>
            </w:r>
            <w:proofErr w:type="spellEnd"/>
            <w:r w:rsidRPr="004627B1">
              <w:rPr>
                <w:rFonts w:cs="Times New Roman"/>
                <w:sz w:val="24"/>
                <w:szCs w:val="24"/>
                <w:lang w:val="el-GR"/>
              </w:rPr>
              <w:t xml:space="preserve"> γνώση τους. Το μάθημα μελετά τις σημαντικές προκλήσεις και προβλήματα που αντιμετωπίζει η ΕΕ επί του παρόντος και στοχεύει στην ανάπτυξη της κριτικής σκέψης των φοιτητών σχετικά με την εξέλιξη της Ευρωπαϊκής ολοκλήρωσης. Ο γενικότερος στόχος του μαθήματος είναι να  δημιουργήσει το εννοιολογικό πλαίσιο σχετικά με το ευρωπαϊκό δίκαιο για τις τρεις κατευθύνσεις του προγράμματος και να προσφέρει μια σφαιρική εικόνα της εξέλιξης του Ευρωπαϊκού δικαίου, την οποία θα επεκτείνουν τα μαθήματα κατεύθυνσης στους ειδικούς τομείς.</w:t>
            </w:r>
          </w:p>
        </w:tc>
      </w:tr>
      <w:tr w:rsidR="0065731A" w:rsidRPr="00D1367E" w14:paraId="37EE8E90" w14:textId="77777777" w:rsidTr="004B0C30">
        <w:trPr>
          <w:trHeight w:val="510"/>
        </w:trPr>
        <w:tc>
          <w:tcPr>
            <w:cnfStyle w:val="001000000000" w:firstRow="0" w:lastRow="0" w:firstColumn="1" w:lastColumn="0" w:oddVBand="0" w:evenVBand="0" w:oddHBand="0" w:evenHBand="0" w:firstRowFirstColumn="0" w:firstRowLastColumn="0" w:lastRowFirstColumn="0" w:lastRowLastColumn="0"/>
            <w:tcW w:w="1980" w:type="dxa"/>
          </w:tcPr>
          <w:p w14:paraId="5505881D" w14:textId="77777777" w:rsidR="0065731A" w:rsidRPr="00296DA9" w:rsidRDefault="0065731A" w:rsidP="004B0C30">
            <w:pPr>
              <w:spacing w:before="120" w:after="120"/>
              <w:rPr>
                <w:rFonts w:cs="Times New Roman"/>
                <w:sz w:val="24"/>
                <w:szCs w:val="24"/>
                <w:lang w:val="el-GR" w:eastAsia="en-GB"/>
              </w:rPr>
            </w:pPr>
            <w:r w:rsidRPr="00296DA9">
              <w:rPr>
                <w:rFonts w:cs="Times New Roman"/>
                <w:sz w:val="24"/>
                <w:szCs w:val="24"/>
                <w:lang w:val="el-GR" w:eastAsia="en-GB"/>
              </w:rPr>
              <w:t>Μαθησιακά Αποτελέσματα</w:t>
            </w:r>
          </w:p>
        </w:tc>
        <w:tc>
          <w:tcPr>
            <w:tcW w:w="6983" w:type="dxa"/>
            <w:gridSpan w:val="5"/>
            <w:noWrap/>
          </w:tcPr>
          <w:p w14:paraId="5043B3A0" w14:textId="77777777" w:rsidR="0065731A" w:rsidRPr="004627B1" w:rsidRDefault="0065731A" w:rsidP="004B0C30">
            <w:p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Οι φοιτητές αναμένεται να είναι σε θέση</w:t>
            </w:r>
            <w:r>
              <w:rPr>
                <w:rFonts w:cs="Times New Roman"/>
                <w:sz w:val="24"/>
                <w:szCs w:val="24"/>
                <w:lang w:val="el-GR"/>
              </w:rPr>
              <w:t xml:space="preserve"> να</w:t>
            </w:r>
            <w:r w:rsidRPr="00296DA9">
              <w:rPr>
                <w:rFonts w:cs="Times New Roman"/>
                <w:sz w:val="24"/>
                <w:szCs w:val="24"/>
                <w:lang w:val="el-GR"/>
              </w:rPr>
              <w:t>:</w:t>
            </w:r>
          </w:p>
          <w:p w14:paraId="504EDAF7" w14:textId="77777777" w:rsidR="0065731A" w:rsidRPr="004627B1" w:rsidRDefault="0065731A" w:rsidP="0065731A">
            <w:pPr>
              <w:pStyle w:val="ListParagraph"/>
              <w:numPr>
                <w:ilvl w:val="0"/>
                <w:numId w:val="1"/>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Επιδεικνύουν ευρεία αντίληψη των θεμελιωδών αρχών του Ευρωπαϊκού δικαίου και του ρόλου τους στην εξέλιξη της Ευρωπαϊκής ολοκλήρωσης.</w:t>
            </w:r>
          </w:p>
          <w:p w14:paraId="7C330766" w14:textId="77777777" w:rsidR="0065731A" w:rsidRPr="004627B1" w:rsidRDefault="0065731A" w:rsidP="0065731A">
            <w:pPr>
              <w:pStyle w:val="ListParagraph"/>
              <w:numPr>
                <w:ilvl w:val="0"/>
                <w:numId w:val="1"/>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Αναλύουν και να αξιολογούν κριτικά προκλήσεις και προβλήματα που αντιμετωπίζει η ΕΕ επί του παρόντος με βάση θεμελιώδεις νομικές αρχές.</w:t>
            </w:r>
          </w:p>
          <w:p w14:paraId="4CAFD3CF" w14:textId="77777777" w:rsidR="0065731A" w:rsidRPr="004627B1" w:rsidRDefault="0065731A" w:rsidP="0065731A">
            <w:pPr>
              <w:pStyle w:val="ListParagraph"/>
              <w:numPr>
                <w:ilvl w:val="0"/>
                <w:numId w:val="1"/>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Κατανοούν την ενσωμάτωση του κεκτημένου της ΕΕ στις εθνικές έννομες τάξεις και ειδικότερα στην Κυπριακή.</w:t>
            </w:r>
          </w:p>
          <w:p w14:paraId="105D7A81" w14:textId="77777777" w:rsidR="0065731A" w:rsidRPr="004627B1" w:rsidRDefault="0065731A" w:rsidP="0065731A">
            <w:pPr>
              <w:pStyle w:val="ListParagraph"/>
              <w:numPr>
                <w:ilvl w:val="0"/>
                <w:numId w:val="1"/>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 xml:space="preserve">Προσεγγίζουν κριτικά τις συνταγματικές ιδιότητες της ΕΕ και τα διαδικαστικά μέσα που επιτρέπουν τη συνεργασία μεταξύ </w:t>
            </w:r>
            <w:r w:rsidRPr="004627B1">
              <w:rPr>
                <w:rFonts w:cs="Times New Roman"/>
                <w:bCs/>
                <w:iCs/>
                <w:sz w:val="24"/>
                <w:szCs w:val="24"/>
                <w:lang w:val="el-GR"/>
              </w:rPr>
              <w:lastRenderedPageBreak/>
              <w:t>των έννομων τάξεων (αρχές της υπεροχής, άμεσο αποτέλεσμα, προδικαστική παραπομπή).</w:t>
            </w:r>
          </w:p>
          <w:p w14:paraId="6D315338" w14:textId="77777777" w:rsidR="0065731A" w:rsidRPr="004627B1" w:rsidRDefault="0065731A" w:rsidP="0065731A">
            <w:pPr>
              <w:pStyle w:val="ListParagraph"/>
              <w:numPr>
                <w:ilvl w:val="0"/>
                <w:numId w:val="1"/>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Εφαρμόζουν τη γενική τους γνώση σε συγκεκριμένα νομικά προβλήματα θεωρητικής και πρακτικής φύσεως.</w:t>
            </w:r>
          </w:p>
          <w:p w14:paraId="18527991" w14:textId="77777777" w:rsidR="0065731A" w:rsidRPr="004627B1" w:rsidRDefault="0065731A" w:rsidP="0065731A">
            <w:pPr>
              <w:pStyle w:val="ListParagraph"/>
              <w:numPr>
                <w:ilvl w:val="0"/>
                <w:numId w:val="1"/>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Εντοπίσουν και ερμηνεύσουν τις επιρροές (άμεσες και έμμεσες) στους τομείς του ποινικού, ιδιωτικού και δημοσίου δικαίου από το σύστημα της ΕΕ.</w:t>
            </w:r>
          </w:p>
          <w:p w14:paraId="2F0E6AA5" w14:textId="77777777" w:rsidR="0065731A" w:rsidRPr="004627B1" w:rsidRDefault="0065731A" w:rsidP="0065731A">
            <w:pPr>
              <w:pStyle w:val="ListParagraph"/>
              <w:numPr>
                <w:ilvl w:val="0"/>
                <w:numId w:val="1"/>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 xml:space="preserve">Αναπτύξουν δεξιότητες μελέτης, κατανόησης και σύγκρισης διαφόρων πηγών και να εφαρμόσουν σύνθετη σκέψη στις διαφορετικές αξιολογήσεις.  </w:t>
            </w:r>
          </w:p>
          <w:p w14:paraId="571E13E8" w14:textId="77777777" w:rsidR="0065731A" w:rsidRPr="004627B1" w:rsidRDefault="0065731A" w:rsidP="0065731A">
            <w:pPr>
              <w:pStyle w:val="ListParagraph"/>
              <w:numPr>
                <w:ilvl w:val="0"/>
                <w:numId w:val="1"/>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bCs/>
                <w:iCs/>
                <w:sz w:val="24"/>
                <w:szCs w:val="24"/>
                <w:lang w:val="el-GR"/>
              </w:rPr>
            </w:pPr>
            <w:r w:rsidRPr="004627B1">
              <w:rPr>
                <w:rFonts w:cs="Times New Roman"/>
                <w:bCs/>
                <w:iCs/>
                <w:sz w:val="24"/>
                <w:szCs w:val="24"/>
                <w:lang w:val="el-GR"/>
              </w:rPr>
              <w:t xml:space="preserve">Αναλαμβάνουν πρωτοβουλία για την πραγματοποίηση ανεξάρτητης μάθησης και την ανάπτυξη της έρευνας και κριτικής ανάλυσης σχετικά με την εξέλιξη της Ευρωπαϊκής έννομης τάξης. </w:t>
            </w:r>
          </w:p>
        </w:tc>
      </w:tr>
      <w:tr w:rsidR="0065731A" w:rsidRPr="00296DA9" w14:paraId="4B56E4EA" w14:textId="77777777" w:rsidTr="004B0C30">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1980" w:type="dxa"/>
          </w:tcPr>
          <w:p w14:paraId="55DFF7A3" w14:textId="77777777" w:rsidR="0065731A" w:rsidRPr="00296DA9" w:rsidRDefault="0065731A" w:rsidP="004B0C30">
            <w:pPr>
              <w:spacing w:before="120" w:after="120"/>
              <w:rPr>
                <w:rFonts w:cs="Times New Roman"/>
                <w:sz w:val="24"/>
                <w:szCs w:val="24"/>
                <w:lang w:val="el-GR" w:eastAsia="en-GB"/>
              </w:rPr>
            </w:pPr>
            <w:proofErr w:type="spellStart"/>
            <w:r w:rsidRPr="00296DA9">
              <w:rPr>
                <w:rFonts w:cs="Times New Roman"/>
                <w:sz w:val="24"/>
                <w:szCs w:val="24"/>
                <w:lang w:val="el-GR" w:eastAsia="en-GB"/>
              </w:rPr>
              <w:lastRenderedPageBreak/>
              <w:t>Προαπαιτούμενα</w:t>
            </w:r>
            <w:proofErr w:type="spellEnd"/>
          </w:p>
        </w:tc>
        <w:tc>
          <w:tcPr>
            <w:tcW w:w="2551" w:type="dxa"/>
            <w:gridSpan w:val="2"/>
            <w:noWrap/>
          </w:tcPr>
          <w:p w14:paraId="0C2C1371" w14:textId="77777777" w:rsidR="0065731A" w:rsidRPr="00296DA9" w:rsidRDefault="0065731A"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c>
          <w:tcPr>
            <w:tcW w:w="2268" w:type="dxa"/>
          </w:tcPr>
          <w:p w14:paraId="11F286C2" w14:textId="77777777" w:rsidR="0065731A" w:rsidRPr="00296DA9" w:rsidRDefault="0065731A"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b/>
                <w:sz w:val="24"/>
                <w:szCs w:val="24"/>
                <w:lang w:val="el-GR" w:eastAsia="en-GB"/>
              </w:rPr>
            </w:pPr>
            <w:proofErr w:type="spellStart"/>
            <w:r>
              <w:rPr>
                <w:rFonts w:cs="Times New Roman"/>
                <w:b/>
                <w:sz w:val="24"/>
                <w:szCs w:val="24"/>
                <w:lang w:val="el-GR" w:eastAsia="en-GB"/>
              </w:rPr>
              <w:t>Συναπαιτ</w:t>
            </w:r>
            <w:r w:rsidRPr="00296DA9">
              <w:rPr>
                <w:rFonts w:cs="Times New Roman"/>
                <w:b/>
                <w:sz w:val="24"/>
                <w:szCs w:val="24"/>
                <w:lang w:val="el-GR" w:eastAsia="en-GB"/>
              </w:rPr>
              <w:t>ούμενα</w:t>
            </w:r>
            <w:proofErr w:type="spellEnd"/>
          </w:p>
        </w:tc>
        <w:tc>
          <w:tcPr>
            <w:tcW w:w="2164" w:type="dxa"/>
            <w:gridSpan w:val="2"/>
          </w:tcPr>
          <w:p w14:paraId="20287681" w14:textId="77777777" w:rsidR="0065731A" w:rsidRPr="00296DA9" w:rsidRDefault="0065731A" w:rsidP="004B0C30">
            <w:pPr>
              <w:spacing w:before="120" w:after="120"/>
              <w:cnfStyle w:val="000000100000" w:firstRow="0" w:lastRow="0" w:firstColumn="0" w:lastColumn="0" w:oddVBand="0" w:evenVBand="0" w:oddHBand="1" w:evenHBand="0" w:firstRowFirstColumn="0" w:firstRowLastColumn="0" w:lastRowFirstColumn="0" w:lastRowLastColumn="0"/>
              <w:rPr>
                <w:rFonts w:cs="Times New Roman"/>
                <w:sz w:val="24"/>
                <w:szCs w:val="24"/>
                <w:lang w:val="el-GR" w:eastAsia="en-GB"/>
              </w:rPr>
            </w:pPr>
            <w:r w:rsidRPr="00296DA9">
              <w:rPr>
                <w:rFonts w:cs="Times New Roman"/>
                <w:sz w:val="24"/>
                <w:szCs w:val="24"/>
                <w:lang w:val="el-GR" w:eastAsia="en-GB"/>
              </w:rPr>
              <w:t>--</w:t>
            </w:r>
          </w:p>
        </w:tc>
      </w:tr>
      <w:tr w:rsidR="0065731A" w:rsidRPr="00D1367E" w14:paraId="396360B7"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5F98CBBC" w14:textId="77777777" w:rsidR="0065731A" w:rsidRPr="00296DA9" w:rsidRDefault="0065731A" w:rsidP="004B0C30">
            <w:pPr>
              <w:spacing w:before="120" w:after="120"/>
              <w:rPr>
                <w:rFonts w:cs="Times New Roman"/>
                <w:sz w:val="24"/>
                <w:szCs w:val="24"/>
                <w:lang w:val="el-GR" w:eastAsia="en-GB"/>
              </w:rPr>
            </w:pPr>
            <w:r w:rsidRPr="00296DA9">
              <w:rPr>
                <w:rFonts w:cs="Times New Roman"/>
                <w:sz w:val="24"/>
                <w:szCs w:val="24"/>
                <w:lang w:val="el-GR" w:eastAsia="en-GB"/>
              </w:rPr>
              <w:t>Περιεχόμενο Μαθήματος</w:t>
            </w:r>
          </w:p>
        </w:tc>
        <w:tc>
          <w:tcPr>
            <w:tcW w:w="6983" w:type="dxa"/>
            <w:gridSpan w:val="5"/>
            <w:noWrap/>
          </w:tcPr>
          <w:p w14:paraId="03CCC644" w14:textId="77777777" w:rsidR="0065731A" w:rsidRPr="004627B1" w:rsidRDefault="0065731A" w:rsidP="004B0C30">
            <w:pPr>
              <w:pStyle w:val="BodyTextIndent"/>
              <w:spacing w:before="120"/>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4627B1">
              <w:rPr>
                <w:rFonts w:cs="Times New Roman"/>
                <w:sz w:val="24"/>
                <w:szCs w:val="24"/>
                <w:lang w:val="el-GR"/>
              </w:rPr>
              <w:t xml:space="preserve">Το </w:t>
            </w:r>
            <w:r w:rsidRPr="004627B1">
              <w:rPr>
                <w:rFonts w:cs="Times New Roman"/>
                <w:b/>
                <w:sz w:val="24"/>
                <w:szCs w:val="24"/>
                <w:lang w:val="el-GR"/>
              </w:rPr>
              <w:t>πρώτο</w:t>
            </w:r>
            <w:r w:rsidRPr="004627B1">
              <w:rPr>
                <w:rFonts w:cs="Times New Roman"/>
                <w:sz w:val="24"/>
                <w:szCs w:val="24"/>
                <w:lang w:val="el-GR"/>
              </w:rPr>
              <w:t>, εισαγωγικό σκέλος του μαθήματος αφορά τα συνταγματικά θεμέλια της έννομης τάξης της ΕΕ, εστιάζοντας σε πρόσφατες εξελίξεις. Συγκεκριμένα, το σκέλος εξετάζει την ενσωμάτωση του κεκτημένου της ΕΕ στην Κυπριακή έννομη τάξη, τις γενικές αρχές του δικαίου της ΕΕ (όπως η αρχή της δοτής αρμοδιότητας, η αρχή της αναλογικότητας και η αρχή της επικουρικότητας), το δικαστικό σύστημα της ΕΕ, και τέλος τις βασικές αρχές συνταγματικού δικαίου που αφορούν τη σχέση μεταξύ εθνικής και υπερεθνικής νομικής τάξης (αρχές του αμέσου αποτελέσματος και της υπεροχής του δικαίου της ΕE).</w:t>
            </w:r>
          </w:p>
          <w:p w14:paraId="61DEBF72" w14:textId="77777777" w:rsidR="0065731A" w:rsidRPr="00296DA9" w:rsidRDefault="0065731A" w:rsidP="004B0C30">
            <w:pPr>
              <w:pStyle w:val="BodyTextIndent"/>
              <w:spacing w:before="120"/>
              <w:ind w:left="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4627B1">
              <w:rPr>
                <w:rFonts w:cs="Times New Roman"/>
                <w:sz w:val="24"/>
                <w:szCs w:val="24"/>
                <w:lang w:val="el-GR"/>
              </w:rPr>
              <w:t xml:space="preserve">Το </w:t>
            </w:r>
            <w:r w:rsidRPr="004627B1">
              <w:rPr>
                <w:rFonts w:cs="Times New Roman"/>
                <w:b/>
                <w:sz w:val="24"/>
                <w:szCs w:val="24"/>
                <w:lang w:val="el-GR"/>
              </w:rPr>
              <w:t>δεύτερο</w:t>
            </w:r>
            <w:r w:rsidRPr="004627B1">
              <w:rPr>
                <w:rFonts w:cs="Times New Roman"/>
                <w:sz w:val="24"/>
                <w:szCs w:val="24"/>
                <w:lang w:val="el-GR"/>
              </w:rPr>
              <w:t xml:space="preserve"> σκέλος αφορά το ουσιαστικό δίκαιο της ΕΕ και καλύπτει διάφορες πτυχές, συμπεριλαμβανομένων την εσωτερική αγορά και τις τέσσερεις βασικές ελευθερίες, τις εξωτερικές σχέσεις της ΕΕ, το ποινικό δίκαιο της ΕΕ, με έμφαση στο Ευρωπαϊκό Ένταλμα Σύλληψης, και τέλος, προκλήσεις που αντιμετωπίζει η ΕΕ εκ του παρόντος, όπως το </w:t>
            </w:r>
            <w:proofErr w:type="spellStart"/>
            <w:r w:rsidRPr="004627B1">
              <w:rPr>
                <w:rFonts w:cs="Times New Roman"/>
                <w:sz w:val="24"/>
                <w:szCs w:val="24"/>
                <w:lang w:val="el-GR"/>
              </w:rPr>
              <w:t>Brexit</w:t>
            </w:r>
            <w:proofErr w:type="spellEnd"/>
            <w:r w:rsidRPr="004627B1">
              <w:rPr>
                <w:rFonts w:cs="Times New Roman"/>
                <w:sz w:val="24"/>
                <w:szCs w:val="24"/>
                <w:lang w:val="el-GR"/>
              </w:rPr>
              <w:t xml:space="preserve"> και η μεταναστευτική κρίση. </w:t>
            </w:r>
          </w:p>
        </w:tc>
      </w:tr>
      <w:tr w:rsidR="0065731A" w:rsidRPr="00D1367E" w14:paraId="617C1600" w14:textId="77777777" w:rsidTr="004B0C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34822054" w14:textId="77777777" w:rsidR="0065731A" w:rsidRPr="00296DA9" w:rsidRDefault="0065731A" w:rsidP="004B0C30">
            <w:pPr>
              <w:spacing w:before="120" w:after="120"/>
              <w:rPr>
                <w:rFonts w:cs="Times New Roman"/>
                <w:sz w:val="24"/>
                <w:szCs w:val="24"/>
                <w:lang w:val="el-GR" w:eastAsia="en-GB"/>
              </w:rPr>
            </w:pPr>
            <w:r w:rsidRPr="00296DA9">
              <w:rPr>
                <w:rFonts w:cs="Times New Roman"/>
                <w:sz w:val="24"/>
                <w:szCs w:val="24"/>
                <w:lang w:val="el-GR" w:eastAsia="en-GB"/>
              </w:rPr>
              <w:t>Μεθοδολογία Διδασκαλίας</w:t>
            </w:r>
          </w:p>
        </w:tc>
        <w:tc>
          <w:tcPr>
            <w:tcW w:w="6983" w:type="dxa"/>
            <w:gridSpan w:val="5"/>
            <w:noWrap/>
          </w:tcPr>
          <w:p w14:paraId="7F1EF3CE" w14:textId="77777777" w:rsidR="0065731A" w:rsidRPr="004627B1" w:rsidRDefault="0065731A" w:rsidP="004B0C30">
            <w:p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4627B1">
              <w:rPr>
                <w:rFonts w:cs="Times New Roman"/>
                <w:sz w:val="24"/>
                <w:szCs w:val="24"/>
                <w:lang w:val="el-GR"/>
              </w:rPr>
              <w:t>Εφαρμόζεται η διαλεκτική μέθοδος. Κατά τη διάρκεια των διαλέξεων, οι οποίες υποστηρίζονται με PowerPoint, ενθαρρύνεται η συζήτηση, η κριτική σκέψη και η ανταλλαγή απόψεων. Οι φοιτητές αναμένονται να έχουν μελετήσει και προετοιμαστεί εκ των προτέρων και να συμμετάσχουν στη συζήτηση.</w:t>
            </w:r>
          </w:p>
        </w:tc>
      </w:tr>
      <w:tr w:rsidR="0065731A" w:rsidRPr="00F56119" w14:paraId="2E7CF52B"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064FB0D" w14:textId="77777777" w:rsidR="0065731A" w:rsidRPr="00296DA9" w:rsidRDefault="0065731A" w:rsidP="004B0C30">
            <w:pPr>
              <w:spacing w:before="120" w:after="120"/>
              <w:rPr>
                <w:rFonts w:cs="Times New Roman"/>
                <w:sz w:val="24"/>
                <w:szCs w:val="24"/>
                <w:lang w:val="el-GR" w:eastAsia="en-GB"/>
              </w:rPr>
            </w:pPr>
            <w:r w:rsidRPr="00296DA9">
              <w:rPr>
                <w:rFonts w:cs="Times New Roman"/>
                <w:sz w:val="24"/>
                <w:szCs w:val="24"/>
                <w:lang w:val="el-GR" w:eastAsia="en-GB"/>
              </w:rPr>
              <w:t>Βιβλιογραφία</w:t>
            </w:r>
          </w:p>
        </w:tc>
        <w:tc>
          <w:tcPr>
            <w:tcW w:w="6983" w:type="dxa"/>
            <w:gridSpan w:val="5"/>
            <w:noWrap/>
          </w:tcPr>
          <w:p w14:paraId="6D0027FE" w14:textId="77777777" w:rsidR="0065731A" w:rsidRPr="002E1D70" w:rsidRDefault="0065731A" w:rsidP="0065731A">
            <w:pPr>
              <w:pStyle w:val="ListParagraph"/>
              <w:numPr>
                <w:ilvl w:val="0"/>
                <w:numId w:val="2"/>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Paul Craig and </w:t>
            </w:r>
            <w:proofErr w:type="spellStart"/>
            <w:r w:rsidRPr="002E1D70">
              <w:rPr>
                <w:rFonts w:cs="Times New Roman"/>
                <w:sz w:val="24"/>
                <w:szCs w:val="24"/>
              </w:rPr>
              <w:t>Gráinne</w:t>
            </w:r>
            <w:proofErr w:type="spellEnd"/>
            <w:r w:rsidRPr="002E1D70">
              <w:rPr>
                <w:rFonts w:cs="Times New Roman"/>
                <w:sz w:val="24"/>
                <w:szCs w:val="24"/>
              </w:rPr>
              <w:t xml:space="preserve"> de </w:t>
            </w:r>
            <w:proofErr w:type="spellStart"/>
            <w:r w:rsidRPr="002E1D70">
              <w:rPr>
                <w:rFonts w:cs="Times New Roman"/>
                <w:sz w:val="24"/>
                <w:szCs w:val="24"/>
              </w:rPr>
              <w:t>Burca</w:t>
            </w:r>
            <w:proofErr w:type="spellEnd"/>
            <w:r w:rsidRPr="002E1D70">
              <w:rPr>
                <w:rFonts w:cs="Times New Roman"/>
                <w:sz w:val="24"/>
                <w:szCs w:val="24"/>
              </w:rPr>
              <w:t xml:space="preserve">, </w:t>
            </w:r>
            <w:r w:rsidRPr="002E1D70">
              <w:rPr>
                <w:rFonts w:cs="Times New Roman"/>
                <w:i/>
                <w:sz w:val="24"/>
                <w:szCs w:val="24"/>
              </w:rPr>
              <w:t>EU Law, Text, Cases and Materials</w:t>
            </w:r>
            <w:r w:rsidRPr="002E1D70">
              <w:rPr>
                <w:rFonts w:cs="Times New Roman"/>
                <w:sz w:val="24"/>
                <w:szCs w:val="24"/>
              </w:rPr>
              <w:t xml:space="preserve"> (Oxford University Press, 6th </w:t>
            </w:r>
            <w:proofErr w:type="spellStart"/>
            <w:r w:rsidRPr="002E1D70">
              <w:rPr>
                <w:rFonts w:cs="Times New Roman"/>
                <w:sz w:val="24"/>
                <w:szCs w:val="24"/>
              </w:rPr>
              <w:t>ed</w:t>
            </w:r>
            <w:proofErr w:type="spellEnd"/>
            <w:r w:rsidRPr="002E1D70">
              <w:rPr>
                <w:rFonts w:cs="Times New Roman"/>
                <w:sz w:val="24"/>
                <w:szCs w:val="24"/>
              </w:rPr>
              <w:t xml:space="preserve">, 2015).  </w:t>
            </w:r>
          </w:p>
          <w:p w14:paraId="3A0B284B" w14:textId="77777777" w:rsidR="0065731A" w:rsidRPr="002E1D70" w:rsidRDefault="0065731A" w:rsidP="0065731A">
            <w:pPr>
              <w:pStyle w:val="ListParagraph"/>
              <w:numPr>
                <w:ilvl w:val="0"/>
                <w:numId w:val="2"/>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Paul Craig and </w:t>
            </w:r>
            <w:proofErr w:type="spellStart"/>
            <w:r w:rsidRPr="002E1D70">
              <w:rPr>
                <w:rFonts w:cs="Times New Roman"/>
                <w:sz w:val="24"/>
                <w:szCs w:val="24"/>
              </w:rPr>
              <w:t>Gráinne</w:t>
            </w:r>
            <w:proofErr w:type="spellEnd"/>
            <w:r w:rsidRPr="002E1D70">
              <w:rPr>
                <w:rFonts w:cs="Times New Roman"/>
                <w:sz w:val="24"/>
                <w:szCs w:val="24"/>
              </w:rPr>
              <w:t xml:space="preserve"> de </w:t>
            </w:r>
            <w:proofErr w:type="spellStart"/>
            <w:r w:rsidRPr="002E1D70">
              <w:rPr>
                <w:rFonts w:cs="Times New Roman"/>
                <w:sz w:val="24"/>
                <w:szCs w:val="24"/>
              </w:rPr>
              <w:t>Burca</w:t>
            </w:r>
            <w:proofErr w:type="spellEnd"/>
            <w:r w:rsidRPr="002E1D70">
              <w:rPr>
                <w:rFonts w:cs="Times New Roman"/>
                <w:sz w:val="24"/>
                <w:szCs w:val="24"/>
              </w:rPr>
              <w:t xml:space="preserve"> (</w:t>
            </w:r>
            <w:proofErr w:type="spellStart"/>
            <w:r w:rsidRPr="002E1D70">
              <w:rPr>
                <w:rFonts w:cs="Times New Roman"/>
                <w:sz w:val="24"/>
                <w:szCs w:val="24"/>
              </w:rPr>
              <w:t>eds</w:t>
            </w:r>
            <w:proofErr w:type="spellEnd"/>
            <w:r w:rsidRPr="002E1D70">
              <w:rPr>
                <w:rFonts w:cs="Times New Roman"/>
                <w:sz w:val="24"/>
                <w:szCs w:val="24"/>
              </w:rPr>
              <w:t xml:space="preserve">), </w:t>
            </w:r>
            <w:r w:rsidRPr="002E1D70">
              <w:rPr>
                <w:rFonts w:cs="Times New Roman"/>
                <w:i/>
                <w:sz w:val="24"/>
                <w:szCs w:val="24"/>
              </w:rPr>
              <w:t>The Evolution of EU Law</w:t>
            </w:r>
            <w:r w:rsidRPr="002E1D70">
              <w:rPr>
                <w:rFonts w:cs="Times New Roman"/>
                <w:sz w:val="24"/>
                <w:szCs w:val="24"/>
              </w:rPr>
              <w:t xml:space="preserve"> (Oxford University Press, 2nd </w:t>
            </w:r>
            <w:proofErr w:type="spellStart"/>
            <w:r w:rsidRPr="002E1D70">
              <w:rPr>
                <w:rFonts w:cs="Times New Roman"/>
                <w:sz w:val="24"/>
                <w:szCs w:val="24"/>
              </w:rPr>
              <w:t>ed</w:t>
            </w:r>
            <w:proofErr w:type="spellEnd"/>
            <w:r w:rsidRPr="002E1D70">
              <w:rPr>
                <w:rFonts w:cs="Times New Roman"/>
                <w:sz w:val="24"/>
                <w:szCs w:val="24"/>
              </w:rPr>
              <w:t xml:space="preserve">, 2011). </w:t>
            </w:r>
          </w:p>
          <w:p w14:paraId="5915AA2C" w14:textId="77777777" w:rsidR="0065731A" w:rsidRPr="002E1D70" w:rsidRDefault="0065731A" w:rsidP="0065731A">
            <w:pPr>
              <w:pStyle w:val="ListParagraph"/>
              <w:numPr>
                <w:ilvl w:val="0"/>
                <w:numId w:val="2"/>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proofErr w:type="spellStart"/>
            <w:r w:rsidRPr="002E1D70">
              <w:rPr>
                <w:rFonts w:cs="Times New Roman"/>
                <w:sz w:val="24"/>
                <w:szCs w:val="24"/>
              </w:rPr>
              <w:t>Takis</w:t>
            </w:r>
            <w:proofErr w:type="spellEnd"/>
            <w:r w:rsidRPr="002E1D70">
              <w:rPr>
                <w:rFonts w:cs="Times New Roman"/>
                <w:sz w:val="24"/>
                <w:szCs w:val="24"/>
              </w:rPr>
              <w:t xml:space="preserve"> </w:t>
            </w:r>
            <w:proofErr w:type="spellStart"/>
            <w:r w:rsidRPr="002E1D70">
              <w:rPr>
                <w:rFonts w:cs="Times New Roman"/>
                <w:sz w:val="24"/>
                <w:szCs w:val="24"/>
              </w:rPr>
              <w:t>Tridimas</w:t>
            </w:r>
            <w:proofErr w:type="spellEnd"/>
            <w:r w:rsidRPr="002E1D70">
              <w:rPr>
                <w:rFonts w:cs="Times New Roman"/>
                <w:sz w:val="24"/>
                <w:szCs w:val="24"/>
              </w:rPr>
              <w:t xml:space="preserve">, </w:t>
            </w:r>
            <w:r w:rsidRPr="002E1D70">
              <w:rPr>
                <w:rFonts w:cs="Times New Roman"/>
                <w:i/>
                <w:sz w:val="24"/>
                <w:szCs w:val="24"/>
              </w:rPr>
              <w:t>The General Principles of EU Law</w:t>
            </w:r>
            <w:r w:rsidRPr="002E1D70">
              <w:rPr>
                <w:rFonts w:cs="Times New Roman"/>
                <w:sz w:val="24"/>
                <w:szCs w:val="24"/>
              </w:rPr>
              <w:t xml:space="preserve"> (Oxford University Press, 2nd </w:t>
            </w:r>
            <w:proofErr w:type="spellStart"/>
            <w:r w:rsidRPr="002E1D70">
              <w:rPr>
                <w:rFonts w:cs="Times New Roman"/>
                <w:sz w:val="24"/>
                <w:szCs w:val="24"/>
              </w:rPr>
              <w:t>ed</w:t>
            </w:r>
            <w:proofErr w:type="spellEnd"/>
            <w:r w:rsidRPr="002E1D70">
              <w:rPr>
                <w:rFonts w:cs="Times New Roman"/>
                <w:sz w:val="24"/>
                <w:szCs w:val="24"/>
              </w:rPr>
              <w:t xml:space="preserve">, 2007) and 3rd </w:t>
            </w:r>
            <w:proofErr w:type="spellStart"/>
            <w:r w:rsidRPr="002E1D70">
              <w:rPr>
                <w:rFonts w:cs="Times New Roman"/>
                <w:sz w:val="24"/>
                <w:szCs w:val="24"/>
              </w:rPr>
              <w:t>ed</w:t>
            </w:r>
            <w:proofErr w:type="spellEnd"/>
            <w:r w:rsidRPr="002E1D70">
              <w:rPr>
                <w:rFonts w:cs="Times New Roman"/>
                <w:sz w:val="24"/>
                <w:szCs w:val="24"/>
              </w:rPr>
              <w:t xml:space="preserve"> in 2019.  </w:t>
            </w:r>
          </w:p>
          <w:p w14:paraId="2F2E4D86" w14:textId="77777777" w:rsidR="0065731A" w:rsidRPr="002E1D70" w:rsidRDefault="0065731A" w:rsidP="0065731A">
            <w:pPr>
              <w:pStyle w:val="ListParagraph"/>
              <w:numPr>
                <w:ilvl w:val="0"/>
                <w:numId w:val="2"/>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Anthony </w:t>
            </w:r>
            <w:proofErr w:type="spellStart"/>
            <w:r w:rsidRPr="002E1D70">
              <w:rPr>
                <w:rFonts w:cs="Times New Roman"/>
                <w:sz w:val="24"/>
                <w:szCs w:val="24"/>
              </w:rPr>
              <w:t>Arnull</w:t>
            </w:r>
            <w:proofErr w:type="spellEnd"/>
            <w:r w:rsidRPr="002E1D70">
              <w:rPr>
                <w:rFonts w:cs="Times New Roman"/>
                <w:sz w:val="24"/>
                <w:szCs w:val="24"/>
              </w:rPr>
              <w:t xml:space="preserve"> and Damien Chalmers, </w:t>
            </w:r>
            <w:r w:rsidRPr="002E1D70">
              <w:rPr>
                <w:rFonts w:cs="Times New Roman"/>
                <w:i/>
                <w:sz w:val="24"/>
                <w:szCs w:val="24"/>
              </w:rPr>
              <w:t>The Oxford Handbook of European Union Law</w:t>
            </w:r>
            <w:r w:rsidRPr="002E1D70">
              <w:rPr>
                <w:rFonts w:cs="Times New Roman"/>
                <w:sz w:val="24"/>
                <w:szCs w:val="24"/>
              </w:rPr>
              <w:t xml:space="preserve"> (Oxford University Press, 2015).</w:t>
            </w:r>
          </w:p>
          <w:p w14:paraId="1E60EAF8" w14:textId="77777777" w:rsidR="0065731A" w:rsidRPr="002E1D70" w:rsidRDefault="0065731A" w:rsidP="0065731A">
            <w:pPr>
              <w:pStyle w:val="ListParagraph"/>
              <w:numPr>
                <w:ilvl w:val="0"/>
                <w:numId w:val="2"/>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Carol Harlow and Richard Rawlings, </w:t>
            </w:r>
            <w:r w:rsidRPr="002E1D70">
              <w:rPr>
                <w:rFonts w:cs="Times New Roman"/>
                <w:i/>
                <w:sz w:val="24"/>
                <w:szCs w:val="24"/>
              </w:rPr>
              <w:t>Process and Procedure in EU Administration</w:t>
            </w:r>
            <w:r w:rsidRPr="002E1D70">
              <w:rPr>
                <w:rFonts w:cs="Times New Roman"/>
                <w:sz w:val="24"/>
                <w:szCs w:val="24"/>
              </w:rPr>
              <w:t xml:space="preserve"> (Hart Publishing, 2014).</w:t>
            </w:r>
          </w:p>
          <w:p w14:paraId="0722E50B" w14:textId="77777777" w:rsidR="0065731A" w:rsidRPr="002E1D70" w:rsidRDefault="0065731A" w:rsidP="0065731A">
            <w:pPr>
              <w:pStyle w:val="ListParagraph"/>
              <w:numPr>
                <w:ilvl w:val="0"/>
                <w:numId w:val="2"/>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Paul Craig, </w:t>
            </w:r>
            <w:r w:rsidRPr="002E1D70">
              <w:rPr>
                <w:rFonts w:cs="Times New Roman"/>
                <w:i/>
                <w:sz w:val="24"/>
                <w:szCs w:val="24"/>
              </w:rPr>
              <w:t>EU Administrative Law</w:t>
            </w:r>
            <w:r w:rsidRPr="002E1D70">
              <w:rPr>
                <w:rFonts w:cs="Times New Roman"/>
                <w:sz w:val="24"/>
                <w:szCs w:val="24"/>
              </w:rPr>
              <w:t xml:space="preserve"> (Oxford University Press, 2012).</w:t>
            </w:r>
          </w:p>
          <w:p w14:paraId="60B98C45" w14:textId="77777777" w:rsidR="0065731A" w:rsidRPr="002E1D70" w:rsidRDefault="0065731A" w:rsidP="0065731A">
            <w:pPr>
              <w:pStyle w:val="ListParagraph"/>
              <w:numPr>
                <w:ilvl w:val="0"/>
                <w:numId w:val="2"/>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proofErr w:type="spellStart"/>
            <w:r w:rsidRPr="002E1D70">
              <w:rPr>
                <w:rFonts w:cs="Times New Roman"/>
                <w:sz w:val="24"/>
                <w:szCs w:val="24"/>
              </w:rPr>
              <w:t>Constantinos</w:t>
            </w:r>
            <w:proofErr w:type="spellEnd"/>
            <w:r w:rsidRPr="002E1D70">
              <w:rPr>
                <w:rFonts w:cs="Times New Roman"/>
                <w:sz w:val="24"/>
                <w:szCs w:val="24"/>
              </w:rPr>
              <w:t xml:space="preserve"> </w:t>
            </w:r>
            <w:proofErr w:type="spellStart"/>
            <w:r w:rsidRPr="002E1D70">
              <w:rPr>
                <w:rFonts w:cs="Times New Roman"/>
                <w:sz w:val="24"/>
                <w:szCs w:val="24"/>
              </w:rPr>
              <w:t>Kombos</w:t>
            </w:r>
            <w:proofErr w:type="spellEnd"/>
            <w:r w:rsidRPr="002E1D70">
              <w:rPr>
                <w:rFonts w:cs="Times New Roman"/>
                <w:sz w:val="24"/>
                <w:szCs w:val="24"/>
              </w:rPr>
              <w:t xml:space="preserve">, </w:t>
            </w:r>
            <w:r w:rsidRPr="002E1D70">
              <w:rPr>
                <w:rFonts w:cs="Times New Roman"/>
                <w:i/>
                <w:sz w:val="24"/>
                <w:szCs w:val="24"/>
              </w:rPr>
              <w:t xml:space="preserve">The Impact of EU Law on Cypriot Public Law </w:t>
            </w:r>
            <w:r w:rsidRPr="002E1D70">
              <w:rPr>
                <w:rFonts w:cs="Times New Roman"/>
                <w:sz w:val="24"/>
                <w:szCs w:val="24"/>
              </w:rPr>
              <w:t>(</w:t>
            </w:r>
            <w:proofErr w:type="spellStart"/>
            <w:r w:rsidRPr="002E1D70">
              <w:rPr>
                <w:rFonts w:cs="Times New Roman"/>
                <w:sz w:val="24"/>
                <w:szCs w:val="24"/>
              </w:rPr>
              <w:t>Sakkoulas</w:t>
            </w:r>
            <w:proofErr w:type="spellEnd"/>
            <w:r w:rsidRPr="002E1D70">
              <w:rPr>
                <w:rFonts w:cs="Times New Roman"/>
                <w:sz w:val="24"/>
                <w:szCs w:val="24"/>
              </w:rPr>
              <w:t>, 2015).</w:t>
            </w:r>
          </w:p>
          <w:p w14:paraId="49471286" w14:textId="77777777" w:rsidR="0065731A" w:rsidRPr="002E1D70" w:rsidRDefault="0065731A" w:rsidP="0065731A">
            <w:pPr>
              <w:pStyle w:val="ListParagraph"/>
              <w:numPr>
                <w:ilvl w:val="0"/>
                <w:numId w:val="2"/>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proofErr w:type="spellStart"/>
            <w:r w:rsidRPr="002E1D70">
              <w:rPr>
                <w:rFonts w:cs="Times New Roman"/>
                <w:sz w:val="24"/>
                <w:szCs w:val="24"/>
              </w:rPr>
              <w:t>Valsamis</w:t>
            </w:r>
            <w:proofErr w:type="spellEnd"/>
            <w:r w:rsidRPr="002E1D70">
              <w:rPr>
                <w:rFonts w:cs="Times New Roman"/>
                <w:sz w:val="24"/>
                <w:szCs w:val="24"/>
              </w:rPr>
              <w:t xml:space="preserve"> </w:t>
            </w:r>
            <w:proofErr w:type="spellStart"/>
            <w:r w:rsidRPr="002E1D70">
              <w:rPr>
                <w:rFonts w:cs="Times New Roman"/>
                <w:sz w:val="24"/>
                <w:szCs w:val="24"/>
              </w:rPr>
              <w:t>Mitsilegas</w:t>
            </w:r>
            <w:proofErr w:type="spellEnd"/>
            <w:r w:rsidRPr="002E1D70">
              <w:rPr>
                <w:rFonts w:cs="Times New Roman"/>
                <w:sz w:val="24"/>
                <w:szCs w:val="24"/>
              </w:rPr>
              <w:t xml:space="preserve">, </w:t>
            </w:r>
            <w:r w:rsidRPr="002E1D70">
              <w:rPr>
                <w:rFonts w:cs="Times New Roman"/>
                <w:i/>
                <w:sz w:val="24"/>
                <w:szCs w:val="24"/>
              </w:rPr>
              <w:t>EU Criminal Law</w:t>
            </w:r>
            <w:r w:rsidRPr="002E1D70">
              <w:rPr>
                <w:rFonts w:cs="Times New Roman"/>
                <w:sz w:val="24"/>
                <w:szCs w:val="24"/>
              </w:rPr>
              <w:t xml:space="preserve"> (Hart Publishing, 2009).</w:t>
            </w:r>
          </w:p>
          <w:p w14:paraId="469E8841" w14:textId="77777777" w:rsidR="0065731A" w:rsidRPr="002E1D70" w:rsidRDefault="0065731A" w:rsidP="0065731A">
            <w:pPr>
              <w:pStyle w:val="ListParagraph"/>
              <w:numPr>
                <w:ilvl w:val="0"/>
                <w:numId w:val="2"/>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Catherine Barnard, </w:t>
            </w:r>
            <w:r w:rsidRPr="002E1D70">
              <w:rPr>
                <w:rFonts w:cs="Times New Roman"/>
                <w:i/>
                <w:sz w:val="24"/>
                <w:szCs w:val="24"/>
              </w:rPr>
              <w:t xml:space="preserve">The Substantive Law of the EU, The Four Freedoms </w:t>
            </w:r>
            <w:r w:rsidRPr="002E1D70">
              <w:rPr>
                <w:rFonts w:cs="Times New Roman"/>
                <w:sz w:val="24"/>
                <w:szCs w:val="24"/>
              </w:rPr>
              <w:t xml:space="preserve">(Oxford University Press, 5th </w:t>
            </w:r>
            <w:proofErr w:type="spellStart"/>
            <w:r w:rsidRPr="002E1D70">
              <w:rPr>
                <w:rFonts w:cs="Times New Roman"/>
                <w:sz w:val="24"/>
                <w:szCs w:val="24"/>
              </w:rPr>
              <w:t>ed</w:t>
            </w:r>
            <w:proofErr w:type="spellEnd"/>
            <w:r w:rsidRPr="002E1D70">
              <w:rPr>
                <w:rFonts w:cs="Times New Roman"/>
                <w:sz w:val="24"/>
                <w:szCs w:val="24"/>
              </w:rPr>
              <w:t xml:space="preserve">, 2016). </w:t>
            </w:r>
          </w:p>
          <w:p w14:paraId="4ADDFCD4" w14:textId="77777777" w:rsidR="0065731A" w:rsidRPr="002E1D70" w:rsidRDefault="0065731A" w:rsidP="0065731A">
            <w:pPr>
              <w:pStyle w:val="ListParagraph"/>
              <w:numPr>
                <w:ilvl w:val="0"/>
                <w:numId w:val="2"/>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Piet </w:t>
            </w:r>
            <w:proofErr w:type="spellStart"/>
            <w:r w:rsidRPr="002E1D70">
              <w:rPr>
                <w:rFonts w:cs="Times New Roman"/>
                <w:sz w:val="24"/>
                <w:szCs w:val="24"/>
              </w:rPr>
              <w:t>Eeckhout</w:t>
            </w:r>
            <w:proofErr w:type="spellEnd"/>
            <w:r w:rsidRPr="002E1D70">
              <w:rPr>
                <w:rFonts w:cs="Times New Roman"/>
                <w:sz w:val="24"/>
                <w:szCs w:val="24"/>
              </w:rPr>
              <w:t xml:space="preserve"> and Manuel Lopez-</w:t>
            </w:r>
            <w:proofErr w:type="spellStart"/>
            <w:r w:rsidRPr="002E1D70">
              <w:rPr>
                <w:rFonts w:cs="Times New Roman"/>
                <w:sz w:val="24"/>
                <w:szCs w:val="24"/>
              </w:rPr>
              <w:t>Escudero</w:t>
            </w:r>
            <w:proofErr w:type="spellEnd"/>
            <w:r w:rsidRPr="002E1D70">
              <w:rPr>
                <w:rFonts w:cs="Times New Roman"/>
                <w:sz w:val="24"/>
                <w:szCs w:val="24"/>
              </w:rPr>
              <w:t xml:space="preserve">, </w:t>
            </w:r>
            <w:r w:rsidRPr="002E1D70">
              <w:rPr>
                <w:rFonts w:cs="Times New Roman"/>
                <w:i/>
                <w:sz w:val="24"/>
                <w:szCs w:val="24"/>
              </w:rPr>
              <w:t>The European Union’s External Action in Times of Crisis</w:t>
            </w:r>
            <w:r w:rsidRPr="002E1D70">
              <w:rPr>
                <w:rFonts w:cs="Times New Roman"/>
                <w:sz w:val="24"/>
                <w:szCs w:val="24"/>
              </w:rPr>
              <w:t xml:space="preserve"> (Hart Publishing, 2016).</w:t>
            </w:r>
          </w:p>
          <w:p w14:paraId="41393B57" w14:textId="77777777" w:rsidR="0065731A" w:rsidRPr="002E1D70" w:rsidRDefault="0065731A" w:rsidP="0065731A">
            <w:pPr>
              <w:pStyle w:val="ListParagraph"/>
              <w:numPr>
                <w:ilvl w:val="0"/>
                <w:numId w:val="2"/>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Piet </w:t>
            </w:r>
            <w:proofErr w:type="spellStart"/>
            <w:r w:rsidRPr="002E1D70">
              <w:rPr>
                <w:rFonts w:cs="Times New Roman"/>
                <w:sz w:val="24"/>
                <w:szCs w:val="24"/>
              </w:rPr>
              <w:t>Eeckhout</w:t>
            </w:r>
            <w:proofErr w:type="spellEnd"/>
            <w:r w:rsidRPr="002E1D70">
              <w:rPr>
                <w:rFonts w:cs="Times New Roman"/>
                <w:sz w:val="24"/>
                <w:szCs w:val="24"/>
              </w:rPr>
              <w:t xml:space="preserve">, </w:t>
            </w:r>
            <w:r w:rsidRPr="002E1D70">
              <w:rPr>
                <w:rFonts w:cs="Times New Roman"/>
                <w:i/>
                <w:sz w:val="24"/>
                <w:szCs w:val="24"/>
              </w:rPr>
              <w:t>EU External Relations Law</w:t>
            </w:r>
            <w:r w:rsidRPr="002E1D70">
              <w:rPr>
                <w:rFonts w:cs="Times New Roman"/>
                <w:sz w:val="24"/>
                <w:szCs w:val="24"/>
              </w:rPr>
              <w:t xml:space="preserve"> (Oxford University Press 2011).</w:t>
            </w:r>
          </w:p>
          <w:p w14:paraId="4BA648C7" w14:textId="77777777" w:rsidR="0065731A" w:rsidRPr="002E1D70" w:rsidRDefault="0065731A" w:rsidP="0065731A">
            <w:pPr>
              <w:pStyle w:val="ListParagraph"/>
              <w:numPr>
                <w:ilvl w:val="0"/>
                <w:numId w:val="2"/>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Bart Van </w:t>
            </w:r>
            <w:proofErr w:type="spellStart"/>
            <w:r w:rsidRPr="002E1D70">
              <w:rPr>
                <w:rFonts w:cs="Times New Roman"/>
                <w:sz w:val="24"/>
                <w:szCs w:val="24"/>
              </w:rPr>
              <w:t>Vooren</w:t>
            </w:r>
            <w:proofErr w:type="spellEnd"/>
            <w:r w:rsidRPr="002E1D70">
              <w:rPr>
                <w:rFonts w:cs="Times New Roman"/>
                <w:sz w:val="24"/>
                <w:szCs w:val="24"/>
              </w:rPr>
              <w:t xml:space="preserve"> and Ramses Wessel, </w:t>
            </w:r>
            <w:r w:rsidRPr="002E1D70">
              <w:rPr>
                <w:rFonts w:cs="Times New Roman"/>
                <w:i/>
                <w:sz w:val="24"/>
                <w:szCs w:val="24"/>
              </w:rPr>
              <w:t>EU External relations law: text, cases and materials</w:t>
            </w:r>
            <w:r w:rsidRPr="002E1D70">
              <w:rPr>
                <w:rFonts w:cs="Times New Roman"/>
                <w:sz w:val="24"/>
                <w:szCs w:val="24"/>
              </w:rPr>
              <w:t xml:space="preserve"> (OUP 2014).</w:t>
            </w:r>
          </w:p>
          <w:p w14:paraId="4542E1C5" w14:textId="77777777" w:rsidR="0065731A" w:rsidRPr="002E1D70" w:rsidRDefault="0065731A" w:rsidP="0065731A">
            <w:pPr>
              <w:pStyle w:val="ListParagraph"/>
              <w:numPr>
                <w:ilvl w:val="0"/>
                <w:numId w:val="2"/>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Andrea Biondi and Patrick </w:t>
            </w:r>
            <w:proofErr w:type="spellStart"/>
            <w:r w:rsidRPr="002E1D70">
              <w:rPr>
                <w:rFonts w:cs="Times New Roman"/>
                <w:sz w:val="24"/>
                <w:szCs w:val="24"/>
              </w:rPr>
              <w:t>Birkinshaw</w:t>
            </w:r>
            <w:proofErr w:type="spellEnd"/>
            <w:r w:rsidRPr="002E1D70">
              <w:rPr>
                <w:rFonts w:cs="Times New Roman"/>
                <w:sz w:val="24"/>
                <w:szCs w:val="24"/>
              </w:rPr>
              <w:t xml:space="preserve"> (</w:t>
            </w:r>
            <w:proofErr w:type="spellStart"/>
            <w:r w:rsidRPr="002E1D70">
              <w:rPr>
                <w:rFonts w:cs="Times New Roman"/>
                <w:sz w:val="24"/>
                <w:szCs w:val="24"/>
              </w:rPr>
              <w:t>eds</w:t>
            </w:r>
            <w:proofErr w:type="spellEnd"/>
            <w:r w:rsidRPr="002E1D70">
              <w:rPr>
                <w:rFonts w:cs="Times New Roman"/>
                <w:sz w:val="24"/>
                <w:szCs w:val="24"/>
              </w:rPr>
              <w:t xml:space="preserve">) </w:t>
            </w:r>
            <w:r w:rsidRPr="002E1D70">
              <w:rPr>
                <w:rFonts w:cs="Times New Roman"/>
                <w:i/>
                <w:sz w:val="24"/>
                <w:szCs w:val="24"/>
              </w:rPr>
              <w:t>Britain Alone. The Implications and Consequences of United Kingdom Exit from the EU</w:t>
            </w:r>
            <w:r w:rsidRPr="002E1D70">
              <w:rPr>
                <w:rFonts w:cs="Times New Roman"/>
                <w:sz w:val="24"/>
                <w:szCs w:val="24"/>
              </w:rPr>
              <w:t xml:space="preserve"> (Kluwer Law International 2016).</w:t>
            </w:r>
          </w:p>
          <w:p w14:paraId="31DC167D" w14:textId="77777777" w:rsidR="0065731A" w:rsidRPr="0091338D" w:rsidRDefault="0065731A" w:rsidP="0065731A">
            <w:pPr>
              <w:pStyle w:val="ListParagraph"/>
              <w:numPr>
                <w:ilvl w:val="0"/>
                <w:numId w:val="2"/>
              </w:num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2E1D70">
              <w:rPr>
                <w:rFonts w:cs="Times New Roman"/>
                <w:sz w:val="24"/>
                <w:szCs w:val="24"/>
              </w:rPr>
              <w:t xml:space="preserve">Kenneth Armstrong, </w:t>
            </w:r>
            <w:r w:rsidRPr="002E1D70">
              <w:rPr>
                <w:rFonts w:cs="Times New Roman"/>
                <w:i/>
                <w:sz w:val="24"/>
                <w:szCs w:val="24"/>
              </w:rPr>
              <w:t xml:space="preserve">Brexit Time – Leaving the EU – Why, how and when? </w:t>
            </w:r>
            <w:r w:rsidRPr="004627B1">
              <w:rPr>
                <w:rFonts w:cs="Times New Roman"/>
                <w:sz w:val="24"/>
                <w:szCs w:val="24"/>
                <w:lang w:val="el-GR"/>
              </w:rPr>
              <w:t>(</w:t>
            </w:r>
            <w:proofErr w:type="spellStart"/>
            <w:r w:rsidRPr="004627B1">
              <w:rPr>
                <w:rFonts w:cs="Times New Roman"/>
                <w:sz w:val="24"/>
                <w:szCs w:val="24"/>
                <w:lang w:val="el-GR"/>
              </w:rPr>
              <w:t>Cambridge</w:t>
            </w:r>
            <w:proofErr w:type="spellEnd"/>
            <w:r w:rsidRPr="004627B1">
              <w:rPr>
                <w:rFonts w:cs="Times New Roman"/>
                <w:sz w:val="24"/>
                <w:szCs w:val="24"/>
                <w:lang w:val="el-GR"/>
              </w:rPr>
              <w:t xml:space="preserve"> </w:t>
            </w:r>
            <w:proofErr w:type="spellStart"/>
            <w:r w:rsidRPr="004627B1">
              <w:rPr>
                <w:rFonts w:cs="Times New Roman"/>
                <w:sz w:val="24"/>
                <w:szCs w:val="24"/>
                <w:lang w:val="el-GR"/>
              </w:rPr>
              <w:t>University</w:t>
            </w:r>
            <w:proofErr w:type="spellEnd"/>
            <w:r w:rsidRPr="004627B1">
              <w:rPr>
                <w:rFonts w:cs="Times New Roman"/>
                <w:sz w:val="24"/>
                <w:szCs w:val="24"/>
                <w:lang w:val="el-GR"/>
              </w:rPr>
              <w:t xml:space="preserve"> </w:t>
            </w:r>
            <w:proofErr w:type="spellStart"/>
            <w:r w:rsidRPr="004627B1">
              <w:rPr>
                <w:rFonts w:cs="Times New Roman"/>
                <w:sz w:val="24"/>
                <w:szCs w:val="24"/>
                <w:lang w:val="el-GR"/>
              </w:rPr>
              <w:t>Press</w:t>
            </w:r>
            <w:proofErr w:type="spellEnd"/>
            <w:r w:rsidRPr="004627B1">
              <w:rPr>
                <w:rFonts w:cs="Times New Roman"/>
                <w:sz w:val="24"/>
                <w:szCs w:val="24"/>
                <w:lang w:val="el-GR"/>
              </w:rPr>
              <w:t>, 2017).</w:t>
            </w:r>
          </w:p>
          <w:p w14:paraId="63577DAB" w14:textId="77777777" w:rsidR="0065731A" w:rsidRPr="00F56119" w:rsidRDefault="0065731A" w:rsidP="004B0C30">
            <w:pPr>
              <w:pStyle w:val="ListParagraph"/>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r w:rsidR="0065731A" w:rsidRPr="00D1367E" w14:paraId="0FEC3D04" w14:textId="77777777" w:rsidTr="004B0C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0" w:type="dxa"/>
          </w:tcPr>
          <w:p w14:paraId="0AD6499E" w14:textId="77777777" w:rsidR="0065731A" w:rsidRPr="00296DA9" w:rsidRDefault="0065731A" w:rsidP="004B0C30">
            <w:pPr>
              <w:spacing w:before="120" w:after="120"/>
              <w:rPr>
                <w:rFonts w:cs="Times New Roman"/>
                <w:sz w:val="24"/>
                <w:szCs w:val="24"/>
                <w:lang w:val="el-GR" w:eastAsia="en-GB"/>
              </w:rPr>
            </w:pPr>
            <w:r w:rsidRPr="00296DA9">
              <w:rPr>
                <w:rFonts w:cs="Times New Roman"/>
                <w:sz w:val="24"/>
                <w:szCs w:val="24"/>
                <w:lang w:val="el-GR" w:eastAsia="en-GB"/>
              </w:rPr>
              <w:t>Αξιολόγηση</w:t>
            </w:r>
          </w:p>
        </w:tc>
        <w:tc>
          <w:tcPr>
            <w:tcW w:w="6983" w:type="dxa"/>
            <w:gridSpan w:val="5"/>
            <w:noWrap/>
          </w:tcPr>
          <w:p w14:paraId="59D2E174" w14:textId="77777777" w:rsidR="0065731A" w:rsidRPr="0091338D" w:rsidRDefault="0065731A" w:rsidP="004B0C30">
            <w:p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Α) Γραπτή άσκηση με την μορφή εργασίας – κριτική παρουσίαση και σχολιασμός επιστημονικής μελέτης από κατάλογο που θα ανακοινωθεί (</w:t>
            </w:r>
            <w:proofErr w:type="spellStart"/>
            <w:r w:rsidRPr="0091338D">
              <w:rPr>
                <w:rFonts w:cs="Times New Roman"/>
                <w:sz w:val="24"/>
                <w:szCs w:val="24"/>
                <w:lang w:val="el-GR"/>
              </w:rPr>
              <w:t>reaction</w:t>
            </w:r>
            <w:proofErr w:type="spellEnd"/>
            <w:r w:rsidRPr="0091338D">
              <w:rPr>
                <w:rFonts w:cs="Times New Roman"/>
                <w:sz w:val="24"/>
                <w:szCs w:val="24"/>
                <w:lang w:val="el-GR"/>
              </w:rPr>
              <w:t xml:space="preserve"> </w:t>
            </w:r>
            <w:proofErr w:type="spellStart"/>
            <w:r w:rsidRPr="0091338D">
              <w:rPr>
                <w:rFonts w:cs="Times New Roman"/>
                <w:sz w:val="24"/>
                <w:szCs w:val="24"/>
                <w:lang w:val="el-GR"/>
              </w:rPr>
              <w:t>paper</w:t>
            </w:r>
            <w:proofErr w:type="spellEnd"/>
            <w:r w:rsidRPr="0091338D">
              <w:rPr>
                <w:rFonts w:cs="Times New Roman"/>
                <w:sz w:val="24"/>
                <w:szCs w:val="24"/>
                <w:lang w:val="el-GR"/>
              </w:rPr>
              <w:t>) (15 %)</w:t>
            </w:r>
          </w:p>
          <w:p w14:paraId="0A1FFBAE" w14:textId="77777777" w:rsidR="0065731A" w:rsidRPr="0091338D" w:rsidRDefault="0065731A" w:rsidP="004B0C30">
            <w:p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Β) Γραπτή άσκηση με την μορφή εργασίας – κριτική παρουσίαση και σχολιασμός δικαστικής απόφασης του ΔΕΕ ή του Γενικού Δικαστηρίου σχετικής με ενότητα του μαθήματος (</w:t>
            </w:r>
            <w:proofErr w:type="spellStart"/>
            <w:r w:rsidRPr="0091338D">
              <w:rPr>
                <w:rFonts w:cs="Times New Roman"/>
                <w:sz w:val="24"/>
                <w:szCs w:val="24"/>
                <w:lang w:val="el-GR"/>
              </w:rPr>
              <w:t>case</w:t>
            </w:r>
            <w:proofErr w:type="spellEnd"/>
            <w:r w:rsidRPr="0091338D">
              <w:rPr>
                <w:rFonts w:cs="Times New Roman"/>
                <w:sz w:val="24"/>
                <w:szCs w:val="24"/>
                <w:lang w:val="el-GR"/>
              </w:rPr>
              <w:t xml:space="preserve"> </w:t>
            </w:r>
            <w:proofErr w:type="spellStart"/>
            <w:r w:rsidRPr="0091338D">
              <w:rPr>
                <w:rFonts w:cs="Times New Roman"/>
                <w:sz w:val="24"/>
                <w:szCs w:val="24"/>
                <w:lang w:val="el-GR"/>
              </w:rPr>
              <w:t>note</w:t>
            </w:r>
            <w:proofErr w:type="spellEnd"/>
            <w:r w:rsidRPr="0091338D">
              <w:rPr>
                <w:rFonts w:cs="Times New Roman"/>
                <w:sz w:val="24"/>
                <w:szCs w:val="24"/>
                <w:lang w:val="el-GR"/>
              </w:rPr>
              <w:t>) (15%)</w:t>
            </w:r>
          </w:p>
          <w:p w14:paraId="08070234" w14:textId="77777777" w:rsidR="0065731A" w:rsidRPr="0091338D" w:rsidRDefault="0065731A" w:rsidP="004B0C30">
            <w:pPr>
              <w:spacing w:before="120" w:after="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l-GR"/>
              </w:rPr>
            </w:pPr>
            <w:r w:rsidRPr="0091338D">
              <w:rPr>
                <w:rFonts w:cs="Times New Roman"/>
                <w:sz w:val="24"/>
                <w:szCs w:val="24"/>
                <w:lang w:val="el-GR"/>
              </w:rPr>
              <w:t>Γ) Ερευνητική εργασία σε αντικείμενο από κατάλογο που θα ανακοινωθεί (70%)</w:t>
            </w:r>
          </w:p>
        </w:tc>
      </w:tr>
      <w:tr w:rsidR="0065731A" w:rsidRPr="00296DA9" w14:paraId="5BC93215" w14:textId="77777777" w:rsidTr="004B0C30">
        <w:trPr>
          <w:trHeight w:val="255"/>
        </w:trPr>
        <w:tc>
          <w:tcPr>
            <w:cnfStyle w:val="001000000000" w:firstRow="0" w:lastRow="0" w:firstColumn="1" w:lastColumn="0" w:oddVBand="0" w:evenVBand="0" w:oddHBand="0" w:evenHBand="0" w:firstRowFirstColumn="0" w:firstRowLastColumn="0" w:lastRowFirstColumn="0" w:lastRowLastColumn="0"/>
            <w:tcW w:w="1980" w:type="dxa"/>
          </w:tcPr>
          <w:p w14:paraId="74ED77CD" w14:textId="77777777" w:rsidR="0065731A" w:rsidRPr="00296DA9" w:rsidRDefault="0065731A" w:rsidP="004B0C30">
            <w:pPr>
              <w:spacing w:before="120" w:after="120"/>
              <w:rPr>
                <w:rFonts w:cs="Times New Roman"/>
                <w:sz w:val="24"/>
                <w:szCs w:val="24"/>
                <w:lang w:val="el-GR" w:eastAsia="en-GB"/>
              </w:rPr>
            </w:pPr>
            <w:r w:rsidRPr="00296DA9">
              <w:rPr>
                <w:rFonts w:cs="Times New Roman"/>
                <w:sz w:val="24"/>
                <w:szCs w:val="24"/>
                <w:lang w:val="el-GR" w:eastAsia="en-GB"/>
              </w:rPr>
              <w:t>Γλώσσα</w:t>
            </w:r>
          </w:p>
        </w:tc>
        <w:tc>
          <w:tcPr>
            <w:tcW w:w="6983" w:type="dxa"/>
            <w:gridSpan w:val="5"/>
            <w:noWrap/>
          </w:tcPr>
          <w:p w14:paraId="5519D9E6" w14:textId="77777777" w:rsidR="0065731A" w:rsidRPr="00296DA9" w:rsidRDefault="0065731A" w:rsidP="004B0C30">
            <w:pPr>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lang w:val="el-GR"/>
              </w:rPr>
            </w:pPr>
            <w:r w:rsidRPr="00296DA9">
              <w:rPr>
                <w:rFonts w:cs="Times New Roman"/>
                <w:sz w:val="24"/>
                <w:szCs w:val="24"/>
                <w:lang w:val="el-GR"/>
              </w:rPr>
              <w:t>Ελληνική</w:t>
            </w:r>
          </w:p>
        </w:tc>
      </w:tr>
    </w:tbl>
    <w:p w14:paraId="50932E30" w14:textId="77777777" w:rsidR="00C242F7" w:rsidRDefault="0065731A">
      <w:bookmarkStart w:id="0" w:name="_GoBack"/>
      <w:bookmarkEnd w:id="0"/>
    </w:p>
    <w:sectPr w:rsidR="00C242F7" w:rsidSect="007F408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20749"/>
    <w:multiLevelType w:val="hybridMultilevel"/>
    <w:tmpl w:val="6F70A3D8"/>
    <w:lvl w:ilvl="0" w:tplc="040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BA7C67"/>
    <w:multiLevelType w:val="hybridMultilevel"/>
    <w:tmpl w:val="AD981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31A"/>
    <w:rsid w:val="0011062B"/>
    <w:rsid w:val="004F1779"/>
    <w:rsid w:val="00521159"/>
    <w:rsid w:val="0065731A"/>
    <w:rsid w:val="007B7897"/>
    <w:rsid w:val="007F408D"/>
    <w:rsid w:val="009A5126"/>
    <w:rsid w:val="009B02EB"/>
    <w:rsid w:val="00BC3FC6"/>
    <w:rsid w:val="00C603AF"/>
    <w:rsid w:val="00F6418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5B43E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5731A"/>
    <w:pPr>
      <w:spacing w:before="200" w:after="200" w:line="276" w:lineRule="auto"/>
    </w:pPr>
    <w:rPr>
      <w:rFonts w:eastAsiaTheme="minorEastAsia"/>
      <w:sz w:val="20"/>
      <w:szCs w:val="20"/>
    </w:rPr>
  </w:style>
  <w:style w:type="paragraph" w:styleId="Heading1">
    <w:name w:val="heading 1"/>
    <w:basedOn w:val="Normal"/>
    <w:next w:val="Normal"/>
    <w:link w:val="Heading1Char"/>
    <w:uiPriority w:val="9"/>
    <w:qFormat/>
    <w:rsid w:val="006573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573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731A"/>
    <w:pPr>
      <w:ind w:left="720"/>
      <w:contextualSpacing/>
    </w:pPr>
  </w:style>
  <w:style w:type="character" w:customStyle="1" w:styleId="Heading1Char">
    <w:name w:val="Heading 1 Char"/>
    <w:basedOn w:val="DefaultParagraphFont"/>
    <w:link w:val="Heading1"/>
    <w:uiPriority w:val="9"/>
    <w:rsid w:val="0065731A"/>
    <w:rPr>
      <w:rFonts w:asciiTheme="majorHAnsi" w:eastAsiaTheme="majorEastAsia" w:hAnsiTheme="majorHAnsi" w:cstheme="majorBidi"/>
      <w:color w:val="2F5496" w:themeColor="accent1" w:themeShade="BF"/>
      <w:sz w:val="32"/>
      <w:szCs w:val="32"/>
    </w:rPr>
  </w:style>
  <w:style w:type="paragraph" w:styleId="TOCHeading">
    <w:name w:val="TOC Heading"/>
    <w:aliases w:val="mathimata"/>
    <w:basedOn w:val="Heading2"/>
    <w:next w:val="Normal"/>
    <w:uiPriority w:val="39"/>
    <w:unhideWhenUsed/>
    <w:qFormat/>
    <w:rsid w:val="0065731A"/>
    <w:pPr>
      <w:keepNext w:val="0"/>
      <w:keepLines w:val="0"/>
      <w:shd w:val="clear" w:color="auto" w:fill="DEEAF6" w:themeFill="accent5" w:themeFillTint="33"/>
      <w:spacing w:before="200"/>
      <w:jc w:val="both"/>
      <w:outlineLvl w:val="9"/>
    </w:pPr>
    <w:rPr>
      <w:rFonts w:asciiTheme="minorHAnsi" w:eastAsiaTheme="minorEastAsia" w:hAnsiTheme="minorHAnsi" w:cstheme="minorBidi"/>
      <w:caps/>
      <w:spacing w:val="15"/>
      <w:sz w:val="24"/>
      <w:szCs w:val="22"/>
    </w:rPr>
  </w:style>
  <w:style w:type="table" w:styleId="PlainTable1">
    <w:name w:val="Plain Table 1"/>
    <w:basedOn w:val="TableNormal"/>
    <w:uiPriority w:val="41"/>
    <w:rsid w:val="0065731A"/>
    <w:pPr>
      <w:spacing w:before="200"/>
    </w:pPr>
    <w:rPr>
      <w:rFonts w:eastAsiaTheme="minorEastAsia"/>
      <w:sz w:val="22"/>
      <w:szCs w:val="22"/>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Indent">
    <w:name w:val="Body Text Indent"/>
    <w:basedOn w:val="Normal"/>
    <w:link w:val="BodyTextIndentChar"/>
    <w:uiPriority w:val="99"/>
    <w:unhideWhenUsed/>
    <w:rsid w:val="0065731A"/>
    <w:pPr>
      <w:spacing w:after="120"/>
      <w:ind w:left="283"/>
    </w:pPr>
  </w:style>
  <w:style w:type="character" w:customStyle="1" w:styleId="BodyTextIndentChar">
    <w:name w:val="Body Text Indent Char"/>
    <w:basedOn w:val="DefaultParagraphFont"/>
    <w:link w:val="BodyTextIndent"/>
    <w:uiPriority w:val="99"/>
    <w:rsid w:val="0065731A"/>
    <w:rPr>
      <w:rFonts w:eastAsiaTheme="minorEastAsia"/>
      <w:sz w:val="20"/>
      <w:szCs w:val="20"/>
    </w:rPr>
  </w:style>
  <w:style w:type="character" w:customStyle="1" w:styleId="Heading2Char">
    <w:name w:val="Heading 2 Char"/>
    <w:basedOn w:val="DefaultParagraphFont"/>
    <w:link w:val="Heading2"/>
    <w:uiPriority w:val="9"/>
    <w:semiHidden/>
    <w:rsid w:val="0065731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801</Words>
  <Characters>4570</Characters>
  <Application>Microsoft Macintosh Word</Application>
  <DocSecurity>0</DocSecurity>
  <Lines>38</Lines>
  <Paragraphs>10</Paragraphs>
  <ScaleCrop>false</ScaleCrop>
  <LinksUpToDate>false</LinksUpToDate>
  <CharactersWithSpaces>5361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Aris Constantinides</dc:creator>
  <cp:keywords/>
  <dc:description/>
  <cp:lastModifiedBy>Aris Constantinides</cp:lastModifiedBy>
  <cp:revision>1</cp:revision>
  <dcterms:created xsi:type="dcterms:W3CDTF">2018-08-19T16:18:00Z</dcterms:created>
  <dcterms:modified xsi:type="dcterms:W3CDTF">2018-08-19T16:18:00Z</dcterms:modified>
</cp:coreProperties>
</file>