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70437" w14:textId="77777777" w:rsidR="00104778" w:rsidRPr="00296DA9" w:rsidRDefault="00104778" w:rsidP="00104778">
      <w:pPr>
        <w:pStyle w:val="TOCHeading"/>
        <w:rPr>
          <w:lang w:val="el-GR"/>
        </w:rPr>
      </w:pPr>
      <w:bookmarkStart w:id="0" w:name="_GoBack"/>
      <w:bookmarkEnd w:id="0"/>
      <w:r>
        <w:rPr>
          <w:lang w:val="el-GR"/>
        </w:rPr>
        <w:t xml:space="preserve">NOM </w:t>
      </w:r>
      <w:r w:rsidRPr="000A367D">
        <w:rPr>
          <w:lang w:val="el-GR"/>
        </w:rPr>
        <w:t>53</w:t>
      </w:r>
      <w:r>
        <w:rPr>
          <w:lang w:val="el-GR"/>
        </w:rPr>
        <w:t>2</w:t>
      </w:r>
      <w:r w:rsidRPr="00296DA9">
        <w:rPr>
          <w:lang w:val="el-GR"/>
        </w:rPr>
        <w:t xml:space="preserve"> Ευρωπαϊκό Δίκαιο</w:t>
      </w:r>
      <w:r>
        <w:rPr>
          <w:lang w:val="el-GR"/>
        </w:rPr>
        <w:t xml:space="preserve"> ΠΕΡΙΒΑΛΛΟΝΤΟΣ</w:t>
      </w:r>
    </w:p>
    <w:tbl>
      <w:tblPr>
        <w:tblStyle w:val="PlainTable1"/>
        <w:tblW w:w="8963" w:type="dxa"/>
        <w:tblLayout w:type="fixed"/>
        <w:tblLook w:val="04A0" w:firstRow="1" w:lastRow="0" w:firstColumn="1" w:lastColumn="0" w:noHBand="0" w:noVBand="1"/>
      </w:tblPr>
      <w:tblGrid>
        <w:gridCol w:w="1980"/>
        <w:gridCol w:w="1134"/>
        <w:gridCol w:w="1276"/>
        <w:gridCol w:w="1984"/>
        <w:gridCol w:w="1418"/>
        <w:gridCol w:w="1171"/>
      </w:tblGrid>
      <w:tr w:rsidR="00104778" w:rsidRPr="00296DA9" w14:paraId="0A6BE105" w14:textId="77777777" w:rsidTr="004B0C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769A033"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5A33A5C8" w14:textId="77777777" w:rsidR="00104778" w:rsidRPr="00296DA9" w:rsidRDefault="00104778" w:rsidP="004B0C30">
            <w:pPr>
              <w:spacing w:before="120" w:after="120"/>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104778" w:rsidRPr="00296DA9" w14:paraId="6423B4F8"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7A43DDA"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22E5C783" w14:textId="77777777" w:rsidR="00104778" w:rsidRPr="00296DA9" w:rsidRDefault="00104778"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104778" w:rsidRPr="00296DA9" w14:paraId="721B0C80"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8E279C4"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33662EB8"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Δεύτερο</w:t>
            </w:r>
            <w:r w:rsidRPr="00296DA9">
              <w:rPr>
                <w:rFonts w:cs="Times New Roman"/>
                <w:sz w:val="24"/>
                <w:szCs w:val="24"/>
                <w:lang w:val="el-GR" w:eastAsia="en-GB"/>
              </w:rPr>
              <w:t xml:space="preserve"> Εξάμηνο</w:t>
            </w:r>
          </w:p>
        </w:tc>
      </w:tr>
      <w:tr w:rsidR="00104778" w:rsidRPr="00296DA9" w14:paraId="3DD3A4BE" w14:textId="77777777" w:rsidTr="004B0C3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12BB8B88"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3FE48BCA" w14:textId="77777777" w:rsidR="00104778" w:rsidRPr="00296DA9" w:rsidRDefault="00104778"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Ιωάννα Χατζηγιάννη</w:t>
            </w:r>
          </w:p>
        </w:tc>
      </w:tr>
      <w:tr w:rsidR="00104778" w:rsidRPr="00296DA9" w14:paraId="0E0476B0"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B63D720"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ECTS</w:t>
            </w:r>
          </w:p>
        </w:tc>
        <w:tc>
          <w:tcPr>
            <w:tcW w:w="1134" w:type="dxa"/>
          </w:tcPr>
          <w:p w14:paraId="4040D91E"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276" w:type="dxa"/>
          </w:tcPr>
          <w:p w14:paraId="12D61C5B"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984" w:type="dxa"/>
          </w:tcPr>
          <w:p w14:paraId="3B0A9B56"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20F608A3"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tcPr>
          <w:p w14:paraId="19B61941"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171" w:type="dxa"/>
          </w:tcPr>
          <w:p w14:paraId="79F38363" w14:textId="77777777" w:rsidR="00104778" w:rsidRPr="00296DA9" w:rsidRDefault="00104778"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104778" w:rsidRPr="00D1367E" w14:paraId="4942B6D9"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C49EC04"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1AF04A7E" w14:textId="77777777" w:rsidR="00104778" w:rsidRPr="000A367D" w:rsidRDefault="00104778"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Στόχοι του μαθήματος είναι:</w:t>
            </w:r>
          </w:p>
          <w:p w14:paraId="0F6692FA" w14:textId="77777777" w:rsidR="00104778" w:rsidRPr="002F4F4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Η εισαγωγή στο νομικό πλαίσιο της πολιτικής περιβάλλοντος της ΕΕ.</w:t>
            </w:r>
          </w:p>
          <w:p w14:paraId="6D213412" w14:textId="77777777" w:rsidR="00104778" w:rsidRPr="002F4F4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κατανόηση των θεμελιακών περιβαλλοντικών αρχών της πολιτικής περιβάλλοντος της ΕΕ και η εφαρμογή τους σε συγκεκριμένα περιβαλλοντικά προβλήματα.  </w:t>
            </w:r>
          </w:p>
          <w:p w14:paraId="2DD779AC" w14:textId="77777777" w:rsidR="00104778" w:rsidRPr="002F4F4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κατανόηση της ανάπτυξης αρμοδιοτήτων της ΕΕ σχετικά με την προστασία του περιβάλλοντος και η κατανομή αρμοδιοτήτων μεταξύ της ΕΕ και των κρατών μελών τόσο στον  εσωτερικό τομέα της κοινής αγοράς, όσο και στον εξωτερικό τομέα. </w:t>
            </w:r>
          </w:p>
          <w:p w14:paraId="3E637AF3" w14:textId="77777777" w:rsidR="00104778" w:rsidRPr="002F4F4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εξοικείωση με το παράγωγο δίκαιο της ΕΕ σχετικά με ζητήματα ουσιαστικού περιβαλλοντικού δικαίου, όπως η προστασία των υδάτων, η δράση για το κλίμα και η διαχείριση αποβλήτων. </w:t>
            </w:r>
          </w:p>
          <w:p w14:paraId="0970905A" w14:textId="77777777" w:rsidR="00104778" w:rsidRPr="002F4F4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Arial"/>
                <w:bCs/>
                <w:sz w:val="24"/>
                <w:szCs w:val="24"/>
                <w:lang w:val="el-GR"/>
              </w:rPr>
            </w:pPr>
            <w:r w:rsidRPr="002F4F4D">
              <w:rPr>
                <w:rFonts w:cs="Arial"/>
                <w:bCs/>
                <w:sz w:val="24"/>
                <w:szCs w:val="24"/>
                <w:lang w:val="el-GR"/>
              </w:rPr>
              <w:t xml:space="preserve">Η κριτική προσέγγιση ως προς τη συμμετοχή του κοινού σε θέματα περιβαλλοντικού δικαίου στο νομικό πλαίσιο της ΕΕ.  </w:t>
            </w:r>
          </w:p>
          <w:p w14:paraId="3E5E7887" w14:textId="77777777" w:rsidR="00104778" w:rsidRPr="000A367D" w:rsidRDefault="00104778" w:rsidP="00104778">
            <w:pPr>
              <w:pStyle w:val="ListParagraph"/>
              <w:numPr>
                <w:ilvl w:val="0"/>
                <w:numId w:val="1"/>
              </w:num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F4F4D">
              <w:rPr>
                <w:rFonts w:cs="Arial"/>
                <w:bCs/>
                <w:sz w:val="24"/>
                <w:szCs w:val="24"/>
                <w:lang w:val="el-GR"/>
              </w:rPr>
              <w:t xml:space="preserve">Η υιοθέτηση κριτικής στάσης ως προς τις </w:t>
            </w:r>
            <w:r w:rsidRPr="002F4F4D">
              <w:rPr>
                <w:rFonts w:cs="Arial"/>
                <w:color w:val="212121"/>
                <w:sz w:val="24"/>
                <w:szCs w:val="24"/>
                <w:lang w:val="el-GR"/>
              </w:rPr>
              <w:t>ρυθμιστικές στρατηγικές της ΕΕ που στοχεύουν στην αντιμετώπιση διαφορετικών περιβαλλοντικών προβλημάτων.</w:t>
            </w:r>
          </w:p>
        </w:tc>
      </w:tr>
      <w:tr w:rsidR="00104778" w:rsidRPr="00D1367E" w14:paraId="51F3FB8F" w14:textId="77777777" w:rsidTr="004B0C3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1F6D7A93"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460427C7" w14:textId="77777777" w:rsidR="00104778" w:rsidRPr="002F4F4D" w:rsidRDefault="00104778"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Arial"/>
                <w:b/>
                <w:bCs/>
                <w:sz w:val="24"/>
                <w:szCs w:val="24"/>
                <w:u w:val="single"/>
                <w:lang w:val="el-GR"/>
              </w:rPr>
            </w:pPr>
            <w:r w:rsidRPr="002F4F4D">
              <w:rPr>
                <w:rFonts w:cs="Arial"/>
                <w:color w:val="212121"/>
                <w:sz w:val="24"/>
                <w:szCs w:val="24"/>
                <w:lang w:val="el-GR"/>
              </w:rPr>
              <w:t>Οι φοιτητές που θα ολοκληρώσουν με επιτυχία το εν λόγω μάθημα αναμένεται να είναι σε θέση να:</w:t>
            </w:r>
          </w:p>
          <w:p w14:paraId="2876D6FC" w14:textId="77777777" w:rsidR="00104778" w:rsidRPr="002F4F4D" w:rsidRDefault="00104778" w:rsidP="00104778">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lastRenderedPageBreak/>
              <w:t xml:space="preserve">Προσεγγίζουν κριτικά τις αρχές περιβαλλοντικού δικαίου της ΕΕ και να αναγνωρίζουν την εφαρμογή τους στο ουσιαστικό περιβαλλοντικό δίκαιο της ΕΕ. </w:t>
            </w:r>
          </w:p>
          <w:p w14:paraId="72224548" w14:textId="77777777" w:rsidR="00104778" w:rsidRPr="002F4F4D" w:rsidRDefault="00104778" w:rsidP="00104778">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Ταξινομούν και να συγκρίνουν διαφορετικά είδη ρυθμιστικών προσεγγίσεων που αποσκοπούν στην αντιμετώπιση περιβαλλοντικών προβλημάτων.</w:t>
            </w:r>
          </w:p>
          <w:p w14:paraId="27C8BCCA" w14:textId="77777777" w:rsidR="00104778" w:rsidRPr="002F4F4D" w:rsidRDefault="00104778" w:rsidP="00104778">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Αναλύουν και να αξιολογούν κριτικά τις κανονιστικές επιλογές που λαμβάνει η ΕΕ σε σχέση με περιβαλλοντικά προβλήματα, τόσο σε σχέση με τον τύπο του κανονισμού που χρησιμοποιείται, όσο και με το επίπεδο διακυβέρνησης στο οποίο αντιμετωπίζεται το πρόβλημα.</w:t>
            </w:r>
          </w:p>
          <w:p w14:paraId="5AFF5EEF" w14:textId="77777777" w:rsidR="00104778" w:rsidRPr="002F4F4D" w:rsidRDefault="00104778" w:rsidP="00104778">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Εντοπίζουν και να εξηγούν τις συνδέσεις μεταξύ του περιβαλλοντικού δικαίου και άλλων κλάδων δικαίου της ΕΕ.</w:t>
            </w:r>
          </w:p>
          <w:p w14:paraId="11E9D097" w14:textId="77777777" w:rsidR="00104778" w:rsidRPr="002F4F4D" w:rsidRDefault="00104778" w:rsidP="00104778">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F4F4D">
              <w:rPr>
                <w:rFonts w:cs="Times New Roman"/>
                <w:sz w:val="24"/>
                <w:szCs w:val="24"/>
                <w:lang w:val="el-GR"/>
              </w:rPr>
              <w:t>Εξηγούν τη συσχέτιση μεταξύ των διαφόρων ουσιαστικών περιβαλλοντικών νομοθεσιών της ΕΕ και να αναλύουν κριτικά τη συνύπαρξη και την αποτελεσματικότητά τους.</w:t>
            </w:r>
          </w:p>
        </w:tc>
      </w:tr>
      <w:tr w:rsidR="00104778" w:rsidRPr="00296DA9" w14:paraId="4A6FC8B1" w14:textId="77777777" w:rsidTr="004B0C30">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18067A76" w14:textId="77777777" w:rsidR="00104778" w:rsidRPr="00296DA9" w:rsidRDefault="00104778" w:rsidP="004B0C30">
            <w:pPr>
              <w:spacing w:before="120" w:after="120"/>
              <w:rPr>
                <w:rFonts w:cs="Times New Roman"/>
                <w:sz w:val="24"/>
                <w:szCs w:val="24"/>
                <w:lang w:val="el-GR" w:eastAsia="en-GB"/>
              </w:rPr>
            </w:pPr>
            <w:proofErr w:type="spellStart"/>
            <w:r w:rsidRPr="00296DA9">
              <w:rPr>
                <w:rFonts w:cs="Times New Roman"/>
                <w:sz w:val="24"/>
                <w:szCs w:val="24"/>
                <w:lang w:val="el-GR" w:eastAsia="en-GB"/>
              </w:rPr>
              <w:lastRenderedPageBreak/>
              <w:t>Προαπαιτούμενα</w:t>
            </w:r>
            <w:proofErr w:type="spellEnd"/>
          </w:p>
        </w:tc>
        <w:tc>
          <w:tcPr>
            <w:tcW w:w="2410" w:type="dxa"/>
            <w:gridSpan w:val="2"/>
            <w:noWrap/>
          </w:tcPr>
          <w:p w14:paraId="4B94CEB8" w14:textId="77777777" w:rsidR="00104778" w:rsidRPr="00296DA9" w:rsidRDefault="00104778"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1984" w:type="dxa"/>
          </w:tcPr>
          <w:p w14:paraId="26CB381F" w14:textId="77777777" w:rsidR="00104778" w:rsidRPr="00296DA9" w:rsidRDefault="00104778"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proofErr w:type="spellStart"/>
            <w:r>
              <w:rPr>
                <w:rFonts w:cs="Times New Roman"/>
                <w:b/>
                <w:sz w:val="24"/>
                <w:szCs w:val="24"/>
                <w:lang w:val="el-GR" w:eastAsia="en-GB"/>
              </w:rPr>
              <w:t>Συναπαιτ</w:t>
            </w:r>
            <w:r w:rsidRPr="00296DA9">
              <w:rPr>
                <w:rFonts w:cs="Times New Roman"/>
                <w:b/>
                <w:sz w:val="24"/>
                <w:szCs w:val="24"/>
                <w:lang w:val="el-GR" w:eastAsia="en-GB"/>
              </w:rPr>
              <w:t>ούμενα</w:t>
            </w:r>
            <w:proofErr w:type="spellEnd"/>
          </w:p>
        </w:tc>
        <w:tc>
          <w:tcPr>
            <w:tcW w:w="2589" w:type="dxa"/>
            <w:gridSpan w:val="2"/>
          </w:tcPr>
          <w:p w14:paraId="5D34B77B" w14:textId="77777777" w:rsidR="00104778" w:rsidRPr="00296DA9" w:rsidRDefault="00104778"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104778" w:rsidRPr="0019680F" w14:paraId="15715186"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D73146E"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02E3898B" w14:textId="77777777" w:rsidR="00104778" w:rsidRPr="002F4F4D" w:rsidRDefault="00104778" w:rsidP="004B0C30">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t xml:space="preserve">Η Ευρωπαϊκή Ένωση (ΕΕ) έχει αναπτύξει εκτεταμένη πολιτική για την προστασία του περιβάλλοντος με σημαντική επιρροή τόσο στην εθνική πολιτική περιβάλλοντος των κρατών μελών της, όσο και στην πολιτική τρίτων χωρών και διεθνών πλαισίων. Το εν λόγω μάθημα στοχεύει στην εισαγωγή και κατανόηση των νομικών θεμελίων της περιβαλλοντικής πολιτικής της ΕΕ, καθώς και του ουσιαστικού περιβαλλοντικού δικαίου της ΕΕ.  </w:t>
            </w:r>
          </w:p>
          <w:p w14:paraId="6E205B35" w14:textId="77777777" w:rsidR="00104778" w:rsidRPr="002F4F4D" w:rsidRDefault="00104778" w:rsidP="004B0C30">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t>Κατά τη διάρκεια του μαθήματος, θα μελετήσουμε διάφορα είδη κανονιστικών ρυθμίσεων για την αντιμετώπιση περιβαλλοντικών προβλημάτων, συμπεριλαμβανομένων των μέσων οικονομικών κινήτρων, όπως η εμπορία εκπομπών αερίων θερμοκηπίου, καθώς και άλλες κρατικές παρεμβάσεις. Θα εξετάσουμε πώς οι διάφορες περιβαλλοντικές αρχές καθοδηγούν αυτές τις ρυθμιστικές επιλογές και αντικατοπτρίζονται στη λήψη ουσιαστικής νομοθεσίας.</w:t>
            </w:r>
          </w:p>
          <w:p w14:paraId="6A57E58F" w14:textId="77777777" w:rsidR="00104778" w:rsidRPr="002F4F4D" w:rsidRDefault="00104778" w:rsidP="004B0C30">
            <w:pPr>
              <w:pStyle w:val="HTMLPreformatted"/>
              <w:spacing w:before="120" w:after="12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r w:rsidRPr="002F4F4D">
              <w:rPr>
                <w:rFonts w:asciiTheme="minorHAnsi" w:hAnsiTheme="minorHAnsi" w:cs="Arial"/>
                <w:color w:val="212121"/>
                <w:sz w:val="24"/>
                <w:szCs w:val="24"/>
                <w:lang w:val="el-GR"/>
              </w:rPr>
              <w:t xml:space="preserve">Επιπλέον, μελετώντας το περιβαλλοντικό δίκαιο της ΕΕ, θα εξετάσουμε τη λειτουργία της </w:t>
            </w:r>
            <w:proofErr w:type="spellStart"/>
            <w:r w:rsidRPr="002F4F4D">
              <w:rPr>
                <w:rFonts w:asciiTheme="minorHAnsi" w:hAnsiTheme="minorHAnsi" w:cs="Arial"/>
                <w:color w:val="212121"/>
                <w:sz w:val="24"/>
                <w:szCs w:val="24"/>
                <w:lang w:val="el-GR"/>
              </w:rPr>
              <w:t>πολυεπίπεδης</w:t>
            </w:r>
            <w:proofErr w:type="spellEnd"/>
            <w:r w:rsidRPr="002F4F4D">
              <w:rPr>
                <w:rFonts w:asciiTheme="minorHAnsi" w:hAnsiTheme="minorHAnsi" w:cs="Arial"/>
                <w:color w:val="212121"/>
                <w:sz w:val="24"/>
                <w:szCs w:val="24"/>
                <w:lang w:val="el-GR"/>
              </w:rPr>
              <w:t xml:space="preserve"> διακυβέρνησης που εμπλέκεται στην πολιτική περιβάλλοντος, τόσο εντός, όσο και εκτός των συνόρων της ΕΕ. Συγκεκριμένα θα μελετήσουμε την κατανομή αρμοδιοτήτων μεταξύ της ΕΕ και των κρατών μελών για την προστασία του περιβάλλοντος καθώς και τη συνύπαρξη και αλληλεπίδραση μεταξύ του ευρωπαϊκού δικαίου και του διεθνούς περιβαλλοντικού δικαίου. </w:t>
            </w:r>
          </w:p>
          <w:p w14:paraId="490E7FAE" w14:textId="77777777" w:rsidR="00104778" w:rsidRPr="002F4F4D" w:rsidRDefault="00104778" w:rsidP="004B0C30">
            <w:pPr>
              <w:pStyle w:val="HTMLPreformatted"/>
              <w:spacing w:before="120" w:after="12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u w:val="single"/>
                <w:lang w:val="el-GR"/>
              </w:rPr>
            </w:pPr>
            <w:r w:rsidRPr="002F4F4D">
              <w:rPr>
                <w:rFonts w:asciiTheme="minorHAnsi" w:hAnsiTheme="minorHAnsi" w:cs="Arial"/>
                <w:color w:val="212121"/>
                <w:sz w:val="24"/>
                <w:szCs w:val="24"/>
                <w:u w:val="single"/>
                <w:lang w:val="el-GR"/>
              </w:rPr>
              <w:t>Θεματικές Ενότητες:</w:t>
            </w:r>
          </w:p>
          <w:p w14:paraId="4C452328" w14:textId="77777777" w:rsidR="00104778" w:rsidRPr="002F4F4D" w:rsidRDefault="00104778" w:rsidP="004B0C30">
            <w:pPr>
              <w:pStyle w:val="HTMLPreformatted"/>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212121"/>
                <w:sz w:val="24"/>
                <w:szCs w:val="24"/>
                <w:lang w:val="el-GR"/>
              </w:rPr>
            </w:pPr>
          </w:p>
          <w:tbl>
            <w:tblPr>
              <w:tblW w:w="6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3"/>
            </w:tblGrid>
            <w:tr w:rsidR="00104778" w:rsidRPr="00D1367E" w14:paraId="47BE3A33" w14:textId="77777777" w:rsidTr="004B0C30">
              <w:trPr>
                <w:trHeight w:val="407"/>
              </w:trPr>
              <w:tc>
                <w:tcPr>
                  <w:tcW w:w="6633" w:type="dxa"/>
                  <w:shd w:val="clear" w:color="auto" w:fill="90B4B5"/>
                </w:tcPr>
                <w:p w14:paraId="1362936B" w14:textId="77777777" w:rsidR="00104778" w:rsidRPr="002F4F4D" w:rsidRDefault="00104778" w:rsidP="00104778">
                  <w:pPr>
                    <w:pStyle w:val="ListParagraph"/>
                    <w:numPr>
                      <w:ilvl w:val="0"/>
                      <w:numId w:val="3"/>
                    </w:numPr>
                    <w:spacing w:before="0" w:after="0"/>
                    <w:rPr>
                      <w:rFonts w:cs="Arial"/>
                      <w:sz w:val="24"/>
                      <w:szCs w:val="24"/>
                      <w:lang w:val="el-GR"/>
                    </w:rPr>
                  </w:pPr>
                  <w:r w:rsidRPr="002F4F4D">
                    <w:rPr>
                      <w:rFonts w:cs="Arial"/>
                      <w:sz w:val="24"/>
                      <w:szCs w:val="24"/>
                      <w:lang w:val="el-GR"/>
                    </w:rPr>
                    <w:t xml:space="preserve">Τα θεμέλια του Περιβαλλοντικού Δικαίου της ΕΕ </w:t>
                  </w:r>
                </w:p>
              </w:tc>
            </w:tr>
            <w:tr w:rsidR="00104778" w:rsidRPr="002F4F4D" w14:paraId="08822B69" w14:textId="77777777" w:rsidTr="004B0C30">
              <w:trPr>
                <w:trHeight w:val="407"/>
              </w:trPr>
              <w:tc>
                <w:tcPr>
                  <w:tcW w:w="6633" w:type="dxa"/>
                </w:tcPr>
                <w:p w14:paraId="67CB978F"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Εισαγωγή </w:t>
                  </w:r>
                </w:p>
              </w:tc>
            </w:tr>
            <w:tr w:rsidR="00104778" w:rsidRPr="00D1367E" w14:paraId="080890E8" w14:textId="77777777" w:rsidTr="004B0C30">
              <w:trPr>
                <w:trHeight w:val="407"/>
              </w:trPr>
              <w:tc>
                <w:tcPr>
                  <w:tcW w:w="6633" w:type="dxa"/>
                </w:tcPr>
                <w:p w14:paraId="04C80230"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Η ανάπτυξη της Περιβαλλοντικής Αρμοδιότητας της ΕΕ </w:t>
                  </w:r>
                </w:p>
              </w:tc>
            </w:tr>
            <w:tr w:rsidR="00104778" w:rsidRPr="00D1367E" w14:paraId="1712BB0D" w14:textId="77777777" w:rsidTr="004B0C30">
              <w:trPr>
                <w:trHeight w:val="407"/>
              </w:trPr>
              <w:tc>
                <w:tcPr>
                  <w:tcW w:w="6633" w:type="dxa"/>
                </w:tcPr>
                <w:p w14:paraId="4BABC0DD"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Περιβαλλοντικές Αρχές Ι: Αειφόρος ανάπτυξη </w:t>
                  </w:r>
                </w:p>
              </w:tc>
            </w:tr>
            <w:tr w:rsidR="00104778" w:rsidRPr="00D1367E" w14:paraId="1210DFBD" w14:textId="77777777" w:rsidTr="004B0C30">
              <w:trPr>
                <w:trHeight w:val="407"/>
              </w:trPr>
              <w:tc>
                <w:tcPr>
                  <w:tcW w:w="6633" w:type="dxa"/>
                </w:tcPr>
                <w:p w14:paraId="449E9041"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Περιβαλλοντικές Αρχές ΙΙ: Αρχές της προφύλαξης και της προληπτικής δράσης  </w:t>
                  </w:r>
                </w:p>
              </w:tc>
            </w:tr>
            <w:tr w:rsidR="00104778" w:rsidRPr="00D1367E" w14:paraId="15325037" w14:textId="77777777" w:rsidTr="004B0C30">
              <w:trPr>
                <w:trHeight w:val="407"/>
              </w:trPr>
              <w:tc>
                <w:tcPr>
                  <w:tcW w:w="6633" w:type="dxa"/>
                </w:tcPr>
                <w:p w14:paraId="2C640C22"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Περιβαλλοντικές Αρχές ΙΙΙ: Αρχή «ο </w:t>
                  </w:r>
                  <w:proofErr w:type="spellStart"/>
                  <w:r w:rsidRPr="002F4F4D">
                    <w:rPr>
                      <w:rFonts w:cs="Arial"/>
                      <w:sz w:val="24"/>
                      <w:szCs w:val="24"/>
                      <w:lang w:val="el-GR"/>
                    </w:rPr>
                    <w:t>ρυπαίνων</w:t>
                  </w:r>
                  <w:proofErr w:type="spellEnd"/>
                  <w:r w:rsidRPr="002F4F4D">
                    <w:rPr>
                      <w:rFonts w:cs="Arial"/>
                      <w:sz w:val="24"/>
                      <w:szCs w:val="24"/>
                      <w:lang w:val="el-GR"/>
                    </w:rPr>
                    <w:t xml:space="preserve"> πληρώνει» και αρχή ενσωμάτωσης</w:t>
                  </w:r>
                </w:p>
              </w:tc>
            </w:tr>
            <w:tr w:rsidR="00104778" w:rsidRPr="00D1367E" w14:paraId="0B0A4966" w14:textId="77777777" w:rsidTr="004B0C30">
              <w:trPr>
                <w:trHeight w:val="407"/>
              </w:trPr>
              <w:tc>
                <w:tcPr>
                  <w:tcW w:w="6633" w:type="dxa"/>
                </w:tcPr>
                <w:p w14:paraId="463C1BFB"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Προστασία του περιβάλλοντος στην Εσωτερική Αγορά της ΕΕ </w:t>
                  </w:r>
                </w:p>
              </w:tc>
            </w:tr>
            <w:tr w:rsidR="00104778" w:rsidRPr="00D1367E" w14:paraId="557292AA" w14:textId="77777777" w:rsidTr="004B0C30">
              <w:trPr>
                <w:trHeight w:val="407"/>
              </w:trPr>
              <w:tc>
                <w:tcPr>
                  <w:tcW w:w="6633" w:type="dxa"/>
                </w:tcPr>
                <w:p w14:paraId="24AE8009" w14:textId="77777777" w:rsidR="00104778" w:rsidRPr="002F4F4D" w:rsidRDefault="00104778" w:rsidP="00104778">
                  <w:pPr>
                    <w:pStyle w:val="ListParagraph"/>
                    <w:numPr>
                      <w:ilvl w:val="0"/>
                      <w:numId w:val="4"/>
                    </w:numPr>
                    <w:spacing w:before="0" w:after="0"/>
                    <w:rPr>
                      <w:rFonts w:cs="Arial"/>
                      <w:sz w:val="24"/>
                      <w:szCs w:val="24"/>
                      <w:lang w:val="el-GR"/>
                    </w:rPr>
                  </w:pPr>
                  <w:r w:rsidRPr="002F4F4D">
                    <w:rPr>
                      <w:rFonts w:cs="Arial"/>
                      <w:sz w:val="24"/>
                      <w:szCs w:val="24"/>
                      <w:lang w:val="el-GR"/>
                    </w:rPr>
                    <w:t xml:space="preserve">Συμμετοχή του Κοινού στο Περιβαλλοντικό Δίκαιο της ΕΕ </w:t>
                  </w:r>
                </w:p>
              </w:tc>
            </w:tr>
            <w:tr w:rsidR="00104778" w:rsidRPr="00D1367E" w14:paraId="43E9BF33" w14:textId="77777777" w:rsidTr="004B0C30">
              <w:trPr>
                <w:trHeight w:val="407"/>
              </w:trPr>
              <w:tc>
                <w:tcPr>
                  <w:tcW w:w="6633" w:type="dxa"/>
                  <w:shd w:val="clear" w:color="auto" w:fill="90B4B5"/>
                </w:tcPr>
                <w:p w14:paraId="277162D8" w14:textId="77777777" w:rsidR="00104778" w:rsidRPr="002F4F4D" w:rsidRDefault="00104778" w:rsidP="00104778">
                  <w:pPr>
                    <w:pStyle w:val="ListParagraph"/>
                    <w:numPr>
                      <w:ilvl w:val="0"/>
                      <w:numId w:val="3"/>
                    </w:numPr>
                    <w:spacing w:before="0" w:after="0"/>
                    <w:rPr>
                      <w:rFonts w:cs="Arial"/>
                      <w:sz w:val="24"/>
                      <w:szCs w:val="24"/>
                      <w:lang w:val="el-GR"/>
                    </w:rPr>
                  </w:pPr>
                  <w:r w:rsidRPr="002F4F4D">
                    <w:rPr>
                      <w:rFonts w:cs="Arial"/>
                      <w:sz w:val="24"/>
                      <w:szCs w:val="24"/>
                      <w:lang w:val="el-GR"/>
                    </w:rPr>
                    <w:t xml:space="preserve">Κανονιστικές Ρυθμίσεις για την αντιμετώπιση περιβαλλοντικών προβλημάτων της ΕΕ </w:t>
                  </w:r>
                </w:p>
              </w:tc>
            </w:tr>
            <w:tr w:rsidR="00104778" w:rsidRPr="00D1367E" w14:paraId="647C85C8" w14:textId="77777777" w:rsidTr="004B0C30">
              <w:trPr>
                <w:trHeight w:val="407"/>
              </w:trPr>
              <w:tc>
                <w:tcPr>
                  <w:tcW w:w="6633" w:type="dxa"/>
                </w:tcPr>
                <w:p w14:paraId="7958F359"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Έλεγχος Ρύπανσης I: Προστασία και Διαχείριση Υδάτων </w:t>
                  </w:r>
                </w:p>
              </w:tc>
            </w:tr>
            <w:tr w:rsidR="00104778" w:rsidRPr="00D1367E" w14:paraId="650602D7" w14:textId="77777777" w:rsidTr="004B0C30">
              <w:trPr>
                <w:trHeight w:val="407"/>
              </w:trPr>
              <w:tc>
                <w:tcPr>
                  <w:tcW w:w="6633" w:type="dxa"/>
                </w:tcPr>
                <w:p w14:paraId="18252B97"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Έλεγχος Ρύπανσης ΙΙ: Δημιουργία και Διαχείριση Αποβλήτων</w:t>
                  </w:r>
                </w:p>
              </w:tc>
            </w:tr>
            <w:tr w:rsidR="00104778" w:rsidRPr="00D1367E" w14:paraId="6C80FAFA" w14:textId="77777777" w:rsidTr="004B0C30">
              <w:trPr>
                <w:trHeight w:val="407"/>
              </w:trPr>
              <w:tc>
                <w:tcPr>
                  <w:tcW w:w="6633" w:type="dxa"/>
                </w:tcPr>
                <w:p w14:paraId="32A7DAC8"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Έλεγχος Ρύπανση ΙΙΙ: Έλεγχος Βιομηχανικών Εκπομπών </w:t>
                  </w:r>
                </w:p>
              </w:tc>
            </w:tr>
            <w:tr w:rsidR="00104778" w:rsidRPr="00D1367E" w14:paraId="68454F8C" w14:textId="77777777" w:rsidTr="004B0C30">
              <w:trPr>
                <w:trHeight w:val="407"/>
              </w:trPr>
              <w:tc>
                <w:tcPr>
                  <w:tcW w:w="6633" w:type="dxa"/>
                  <w:shd w:val="clear" w:color="auto" w:fill="auto"/>
                </w:tcPr>
                <w:p w14:paraId="2B293E3C"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Εισαγωγή στη δράση της ΕΕ για το κλίμα </w:t>
                  </w:r>
                </w:p>
              </w:tc>
            </w:tr>
            <w:tr w:rsidR="00104778" w:rsidRPr="00D1367E" w14:paraId="7A53A568" w14:textId="77777777" w:rsidTr="004B0C30">
              <w:trPr>
                <w:trHeight w:val="407"/>
              </w:trPr>
              <w:tc>
                <w:tcPr>
                  <w:tcW w:w="6633" w:type="dxa"/>
                  <w:shd w:val="clear" w:color="auto" w:fill="auto"/>
                </w:tcPr>
                <w:p w14:paraId="4609A033"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Το σύστημα εμπορίας εκπομπών αερίων θερμοκηπίου της ΕΕ </w:t>
                  </w:r>
                </w:p>
              </w:tc>
            </w:tr>
            <w:tr w:rsidR="00104778" w:rsidRPr="00D1367E" w14:paraId="19642C67" w14:textId="77777777" w:rsidTr="004B0C30">
              <w:trPr>
                <w:trHeight w:val="407"/>
              </w:trPr>
              <w:tc>
                <w:tcPr>
                  <w:tcW w:w="6633" w:type="dxa"/>
                  <w:shd w:val="clear" w:color="auto" w:fill="auto"/>
                </w:tcPr>
                <w:p w14:paraId="75FD81A9"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Η ΕΕ ως παγκόσμιος παράγοντας Ι: Μονομερής Δράση για την κλιματική αλλαγή </w:t>
                  </w:r>
                </w:p>
              </w:tc>
            </w:tr>
            <w:tr w:rsidR="00104778" w:rsidRPr="00D1367E" w14:paraId="5D225FFF" w14:textId="77777777" w:rsidTr="004B0C30">
              <w:trPr>
                <w:trHeight w:val="407"/>
              </w:trPr>
              <w:tc>
                <w:tcPr>
                  <w:tcW w:w="6633" w:type="dxa"/>
                  <w:shd w:val="clear" w:color="auto" w:fill="auto"/>
                </w:tcPr>
                <w:p w14:paraId="33083692"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Η ΕΕ ως παγκόσμιος παράγοντας ΙΙ: Η κατανομή των εξωτερικών αρμοδιοτήτων μεταξύ της ΕΕ και των κρατών μελών </w:t>
                  </w:r>
                </w:p>
              </w:tc>
            </w:tr>
            <w:tr w:rsidR="00104778" w:rsidRPr="002F4F4D" w14:paraId="726ABE25" w14:textId="77777777" w:rsidTr="004B0C30">
              <w:trPr>
                <w:trHeight w:val="407"/>
              </w:trPr>
              <w:tc>
                <w:tcPr>
                  <w:tcW w:w="6633" w:type="dxa"/>
                  <w:shd w:val="clear" w:color="auto" w:fill="auto"/>
                </w:tcPr>
                <w:p w14:paraId="0AC99521" w14:textId="77777777" w:rsidR="00104778" w:rsidRPr="002F4F4D" w:rsidRDefault="00104778" w:rsidP="00104778">
                  <w:pPr>
                    <w:pStyle w:val="ListParagraph"/>
                    <w:numPr>
                      <w:ilvl w:val="0"/>
                      <w:numId w:val="5"/>
                    </w:numPr>
                    <w:spacing w:before="0" w:after="0"/>
                    <w:rPr>
                      <w:rFonts w:cs="Arial"/>
                      <w:sz w:val="24"/>
                      <w:szCs w:val="24"/>
                      <w:lang w:val="el-GR"/>
                    </w:rPr>
                  </w:pPr>
                  <w:r w:rsidRPr="002F4F4D">
                    <w:rPr>
                      <w:rFonts w:cs="Arial"/>
                      <w:sz w:val="24"/>
                      <w:szCs w:val="24"/>
                      <w:lang w:val="el-GR"/>
                    </w:rPr>
                    <w:t xml:space="preserve">Σύνοψη </w:t>
                  </w:r>
                </w:p>
              </w:tc>
            </w:tr>
          </w:tbl>
          <w:p w14:paraId="040D8343" w14:textId="77777777" w:rsidR="00104778" w:rsidRPr="00296DA9" w:rsidRDefault="00104778" w:rsidP="004B0C30">
            <w:pPr>
              <w:pStyle w:val="BodyTextIndent"/>
              <w:spacing w:before="120"/>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p>
        </w:tc>
      </w:tr>
      <w:tr w:rsidR="00104778" w:rsidRPr="00D1367E" w14:paraId="6ECC62C2"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7512D4A"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40433EC8" w14:textId="77777777" w:rsidR="00104778" w:rsidRPr="00861C05" w:rsidRDefault="00104778"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861C05">
              <w:rPr>
                <w:rFonts w:cs="Arial"/>
                <w:color w:val="212121"/>
                <w:sz w:val="24"/>
                <w:szCs w:val="24"/>
                <w:lang w:val="el-GR"/>
              </w:rPr>
              <w:t xml:space="preserve">Η διδασκαλία θα πραγματοποιείται μέσω </w:t>
            </w:r>
            <w:proofErr w:type="spellStart"/>
            <w:r w:rsidRPr="00861C05">
              <w:rPr>
                <w:rFonts w:cs="Arial"/>
                <w:color w:val="212121"/>
                <w:sz w:val="24"/>
                <w:szCs w:val="24"/>
                <w:lang w:val="el-GR"/>
              </w:rPr>
              <w:t>διαδραστικών</w:t>
            </w:r>
            <w:proofErr w:type="spellEnd"/>
            <w:r w:rsidRPr="00861C05">
              <w:rPr>
                <w:rFonts w:cs="Arial"/>
                <w:color w:val="212121"/>
                <w:sz w:val="24"/>
                <w:szCs w:val="24"/>
                <w:lang w:val="el-GR"/>
              </w:rPr>
              <w:t xml:space="preserve"> σεμιναρίων και διαλέξεων. Οι φοιτητές αναμένονται να έχουν μελετήσει και προετοιμαστεί πριν από κάθε μάθημα και να συμμετάσχουν σε ομαδικές συζητήσεις και διάλογο. Οι προφορικές παρεμβάσεις από τους φοιτητές ενθαρρύνονται και είναι αναμενόμενες.</w:t>
            </w:r>
          </w:p>
        </w:tc>
      </w:tr>
      <w:tr w:rsidR="00104778" w:rsidRPr="00E623E1" w14:paraId="60C9ABA5"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1F5A018"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370B76AF"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Geert Van </w:t>
            </w:r>
            <w:proofErr w:type="spellStart"/>
            <w:r w:rsidRPr="00861C05">
              <w:rPr>
                <w:rFonts w:cs="Arial"/>
                <w:sz w:val="24"/>
                <w:szCs w:val="24"/>
              </w:rPr>
              <w:t>Calster</w:t>
            </w:r>
            <w:proofErr w:type="spellEnd"/>
            <w:r w:rsidRPr="00861C05">
              <w:rPr>
                <w:rFonts w:cs="Arial"/>
                <w:sz w:val="24"/>
                <w:szCs w:val="24"/>
              </w:rPr>
              <w:t xml:space="preserve"> and Leonie Raines, </w:t>
            </w:r>
            <w:r w:rsidRPr="00861C05">
              <w:rPr>
                <w:rFonts w:cs="Arial"/>
                <w:i/>
                <w:iCs/>
                <w:sz w:val="24"/>
                <w:szCs w:val="24"/>
              </w:rPr>
              <w:t>EU Environmental Law</w:t>
            </w:r>
            <w:r w:rsidRPr="00861C05">
              <w:rPr>
                <w:rFonts w:cs="Arial"/>
                <w:sz w:val="24"/>
                <w:szCs w:val="24"/>
              </w:rPr>
              <w:t xml:space="preserve"> (Edward</w:t>
            </w:r>
            <w:r>
              <w:rPr>
                <w:rFonts w:cs="Arial"/>
                <w:sz w:val="24"/>
                <w:szCs w:val="24"/>
              </w:rPr>
              <w:t xml:space="preserve"> Elgar</w:t>
            </w:r>
            <w:r w:rsidRPr="00861C05">
              <w:rPr>
                <w:rFonts w:cs="Arial"/>
                <w:sz w:val="24"/>
                <w:szCs w:val="24"/>
              </w:rPr>
              <w:t xml:space="preserve">, 2017) </w:t>
            </w:r>
          </w:p>
          <w:p w14:paraId="4DD4F9BB"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bCs/>
                <w:sz w:val="24"/>
                <w:szCs w:val="24"/>
                <w:shd w:val="clear" w:color="auto" w:fill="FFFFFF"/>
              </w:rPr>
              <w:t xml:space="preserve">Ludwig </w:t>
            </w:r>
            <w:proofErr w:type="spellStart"/>
            <w:r w:rsidRPr="00861C05">
              <w:rPr>
                <w:rFonts w:cs="Arial"/>
                <w:bCs/>
                <w:sz w:val="24"/>
                <w:szCs w:val="24"/>
                <w:shd w:val="clear" w:color="auto" w:fill="FFFFFF"/>
              </w:rPr>
              <w:t>Krämer</w:t>
            </w:r>
            <w:proofErr w:type="spellEnd"/>
            <w:r w:rsidRPr="00861C05">
              <w:rPr>
                <w:rFonts w:cs="Arial"/>
                <w:bCs/>
                <w:sz w:val="24"/>
                <w:szCs w:val="24"/>
                <w:shd w:val="clear" w:color="auto" w:fill="FFFFFF"/>
              </w:rPr>
              <w:t xml:space="preserve">, </w:t>
            </w:r>
            <w:r w:rsidRPr="00861C05">
              <w:rPr>
                <w:rFonts w:cs="Arial"/>
                <w:bCs/>
                <w:i/>
                <w:sz w:val="24"/>
                <w:szCs w:val="24"/>
                <w:shd w:val="clear" w:color="auto" w:fill="FFFFFF"/>
              </w:rPr>
              <w:t>EU Environmental Law</w:t>
            </w:r>
            <w:r w:rsidRPr="00861C05">
              <w:rPr>
                <w:rFonts w:cs="Arial"/>
                <w:bCs/>
                <w:sz w:val="24"/>
                <w:szCs w:val="24"/>
                <w:shd w:val="clear" w:color="auto" w:fill="FFFFFF"/>
              </w:rPr>
              <w:t xml:space="preserve"> (Sweet &amp; Maxwell, 8</w:t>
            </w:r>
            <w:r w:rsidRPr="00861C05">
              <w:rPr>
                <w:rFonts w:cs="Arial"/>
                <w:bCs/>
                <w:sz w:val="24"/>
                <w:szCs w:val="24"/>
                <w:shd w:val="clear" w:color="auto" w:fill="FFFFFF"/>
                <w:vertAlign w:val="superscript"/>
              </w:rPr>
              <w:t>th</w:t>
            </w:r>
            <w:r w:rsidRPr="00861C05">
              <w:rPr>
                <w:rFonts w:cs="Arial"/>
                <w:bCs/>
                <w:sz w:val="24"/>
                <w:szCs w:val="24"/>
                <w:shd w:val="clear" w:color="auto" w:fill="FFFFFF"/>
              </w:rPr>
              <w:t xml:space="preserve"> </w:t>
            </w:r>
            <w:proofErr w:type="spellStart"/>
            <w:r w:rsidRPr="00861C05">
              <w:rPr>
                <w:rFonts w:cs="Arial"/>
                <w:bCs/>
                <w:sz w:val="24"/>
                <w:szCs w:val="24"/>
                <w:shd w:val="clear" w:color="auto" w:fill="FFFFFF"/>
              </w:rPr>
              <w:t>ed</w:t>
            </w:r>
            <w:proofErr w:type="spellEnd"/>
            <w:r w:rsidRPr="00861C05">
              <w:rPr>
                <w:rFonts w:cs="Arial"/>
                <w:bCs/>
                <w:sz w:val="24"/>
                <w:szCs w:val="24"/>
                <w:shd w:val="clear" w:color="auto" w:fill="FFFFFF"/>
              </w:rPr>
              <w:t>, 2016)</w:t>
            </w:r>
          </w:p>
          <w:p w14:paraId="7E7D52D2"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shd w:val="clear" w:color="auto" w:fill="FFFFFF"/>
              </w:rPr>
              <w:t xml:space="preserve">David </w:t>
            </w:r>
            <w:proofErr w:type="spellStart"/>
            <w:r w:rsidRPr="00861C05">
              <w:rPr>
                <w:rFonts w:cs="Arial"/>
                <w:sz w:val="24"/>
                <w:szCs w:val="24"/>
                <w:shd w:val="clear" w:color="auto" w:fill="FFFFFF"/>
              </w:rPr>
              <w:t>Langlet</w:t>
            </w:r>
            <w:proofErr w:type="spellEnd"/>
            <w:r w:rsidRPr="00861C05">
              <w:rPr>
                <w:rFonts w:cs="Arial"/>
                <w:sz w:val="24"/>
                <w:szCs w:val="24"/>
                <w:shd w:val="clear" w:color="auto" w:fill="FFFFFF"/>
              </w:rPr>
              <w:t xml:space="preserve"> and Said </w:t>
            </w:r>
            <w:proofErr w:type="spellStart"/>
            <w:r w:rsidRPr="00861C05">
              <w:rPr>
                <w:rFonts w:cs="Arial"/>
                <w:sz w:val="24"/>
                <w:szCs w:val="24"/>
                <w:shd w:val="clear" w:color="auto" w:fill="FFFFFF"/>
              </w:rPr>
              <w:t>Mahmoudi</w:t>
            </w:r>
            <w:proofErr w:type="spellEnd"/>
            <w:r w:rsidRPr="00861C05">
              <w:rPr>
                <w:rFonts w:cs="Arial"/>
                <w:sz w:val="24"/>
                <w:szCs w:val="24"/>
                <w:shd w:val="clear" w:color="auto" w:fill="FFFFFF"/>
              </w:rPr>
              <w:t xml:space="preserve">, </w:t>
            </w:r>
            <w:r w:rsidRPr="00861C05">
              <w:rPr>
                <w:rFonts w:cs="Arial"/>
                <w:i/>
                <w:sz w:val="24"/>
                <w:szCs w:val="24"/>
                <w:shd w:val="clear" w:color="auto" w:fill="FFFFFF"/>
              </w:rPr>
              <w:t>EU Environmental Law and Policy</w:t>
            </w:r>
            <w:r w:rsidRPr="00861C05">
              <w:rPr>
                <w:rFonts w:cs="Arial"/>
                <w:sz w:val="24"/>
                <w:szCs w:val="24"/>
                <w:shd w:val="clear" w:color="auto" w:fill="FFFFFF"/>
              </w:rPr>
              <w:t xml:space="preserve"> (Oxford University Press, 2016)</w:t>
            </w:r>
          </w:p>
          <w:p w14:paraId="28DF44F7"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Maria Lee, </w:t>
            </w:r>
            <w:r w:rsidRPr="00861C05">
              <w:rPr>
                <w:rFonts w:cs="Arial"/>
                <w:i/>
                <w:iCs/>
                <w:sz w:val="24"/>
                <w:szCs w:val="24"/>
              </w:rPr>
              <w:t>EU Environmental Law Governance and Decision-Making</w:t>
            </w:r>
            <w:r w:rsidRPr="00861C05">
              <w:rPr>
                <w:rFonts w:cs="Arial"/>
                <w:sz w:val="24"/>
                <w:szCs w:val="24"/>
              </w:rPr>
              <w:t xml:space="preserve"> (Hart Publishing, 2014) </w:t>
            </w:r>
          </w:p>
          <w:p w14:paraId="1865892E"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proofErr w:type="spellStart"/>
            <w:r w:rsidRPr="00861C05">
              <w:rPr>
                <w:rFonts w:cs="Arial"/>
                <w:sz w:val="24"/>
                <w:szCs w:val="24"/>
              </w:rPr>
              <w:t>Jans</w:t>
            </w:r>
            <w:proofErr w:type="spellEnd"/>
            <w:r w:rsidRPr="00861C05">
              <w:rPr>
                <w:rFonts w:cs="Arial"/>
                <w:sz w:val="24"/>
                <w:szCs w:val="24"/>
              </w:rPr>
              <w:t xml:space="preserve"> and </w:t>
            </w:r>
            <w:proofErr w:type="spellStart"/>
            <w:r w:rsidRPr="00861C05">
              <w:rPr>
                <w:rFonts w:cs="Arial"/>
                <w:sz w:val="24"/>
                <w:szCs w:val="24"/>
              </w:rPr>
              <w:t>Vedder</w:t>
            </w:r>
            <w:proofErr w:type="spellEnd"/>
            <w:r w:rsidRPr="00861C05">
              <w:rPr>
                <w:rFonts w:cs="Arial"/>
                <w:sz w:val="24"/>
                <w:szCs w:val="24"/>
              </w:rPr>
              <w:t xml:space="preserve">, </w:t>
            </w:r>
            <w:r w:rsidRPr="00861C05">
              <w:rPr>
                <w:rFonts w:cs="Arial"/>
                <w:i/>
                <w:iCs/>
                <w:sz w:val="24"/>
                <w:szCs w:val="24"/>
              </w:rPr>
              <w:t>European Environmental Law after Lisbon</w:t>
            </w:r>
            <w:r w:rsidRPr="00861C05">
              <w:rPr>
                <w:rFonts w:cs="Arial"/>
                <w:sz w:val="24"/>
                <w:szCs w:val="24"/>
              </w:rPr>
              <w:t xml:space="preserve"> (Europa Publishing, 2012)</w:t>
            </w:r>
          </w:p>
          <w:p w14:paraId="0A4C6E33"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Andrew Jordan, Environmental Policy in the EU: Actors, institutions and processes (Routledge, 3</w:t>
            </w:r>
            <w:r w:rsidRPr="00861C05">
              <w:rPr>
                <w:rFonts w:cs="Arial"/>
                <w:sz w:val="24"/>
                <w:szCs w:val="24"/>
                <w:vertAlign w:val="superscript"/>
              </w:rPr>
              <w:t>rd</w:t>
            </w:r>
            <w:r w:rsidRPr="00861C05">
              <w:rPr>
                <w:rFonts w:cs="Arial"/>
                <w:sz w:val="24"/>
                <w:szCs w:val="24"/>
              </w:rPr>
              <w:t xml:space="preserve"> </w:t>
            </w:r>
            <w:proofErr w:type="spellStart"/>
            <w:r w:rsidRPr="00861C05">
              <w:rPr>
                <w:rFonts w:cs="Arial"/>
                <w:sz w:val="24"/>
                <w:szCs w:val="24"/>
              </w:rPr>
              <w:t>ed</w:t>
            </w:r>
            <w:proofErr w:type="spellEnd"/>
            <w:r w:rsidRPr="00861C05">
              <w:rPr>
                <w:rFonts w:cs="Arial"/>
                <w:sz w:val="24"/>
                <w:szCs w:val="24"/>
              </w:rPr>
              <w:t>, 2012)</w:t>
            </w:r>
          </w:p>
          <w:p w14:paraId="312C4EC1"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Elisa </w:t>
            </w:r>
            <w:proofErr w:type="spellStart"/>
            <w:r w:rsidRPr="00861C05">
              <w:rPr>
                <w:rFonts w:cs="Arial"/>
                <w:sz w:val="24"/>
                <w:szCs w:val="24"/>
              </w:rPr>
              <w:t>Morgera</w:t>
            </w:r>
            <w:proofErr w:type="spellEnd"/>
            <w:r w:rsidRPr="00861C05">
              <w:rPr>
                <w:rFonts w:cs="Arial"/>
                <w:sz w:val="24"/>
                <w:szCs w:val="24"/>
              </w:rPr>
              <w:t xml:space="preserve"> (</w:t>
            </w:r>
            <w:proofErr w:type="spellStart"/>
            <w:r w:rsidRPr="00861C05">
              <w:rPr>
                <w:rFonts w:cs="Arial"/>
                <w:sz w:val="24"/>
                <w:szCs w:val="24"/>
              </w:rPr>
              <w:t>ed</w:t>
            </w:r>
            <w:proofErr w:type="spellEnd"/>
            <w:r w:rsidRPr="00861C05">
              <w:rPr>
                <w:rFonts w:cs="Arial"/>
                <w:sz w:val="24"/>
                <w:szCs w:val="24"/>
              </w:rPr>
              <w:t>), The External Environmental Policy of the European Union, EU and International Law Perspectives (Cambridge University Press, 2012)</w:t>
            </w:r>
          </w:p>
          <w:p w14:paraId="0BD60CBF" w14:textId="77777777" w:rsidR="00104778" w:rsidRPr="00861C05" w:rsidRDefault="00104778" w:rsidP="00104778">
            <w:pPr>
              <w:pStyle w:val="ListParagraph"/>
              <w:numPr>
                <w:ilvl w:val="0"/>
                <w:numId w:val="6"/>
              </w:numPr>
              <w:spacing w:before="0" w:after="0"/>
              <w:ind w:left="426"/>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61C05">
              <w:rPr>
                <w:rFonts w:cs="Arial"/>
                <w:sz w:val="24"/>
                <w:szCs w:val="24"/>
              </w:rPr>
              <w:t xml:space="preserve">Elisa </w:t>
            </w:r>
            <w:proofErr w:type="spellStart"/>
            <w:r w:rsidRPr="00861C05">
              <w:rPr>
                <w:rFonts w:cs="Arial"/>
                <w:sz w:val="24"/>
                <w:szCs w:val="24"/>
              </w:rPr>
              <w:t>Morgera</w:t>
            </w:r>
            <w:proofErr w:type="spellEnd"/>
            <w:r w:rsidRPr="00861C05">
              <w:rPr>
                <w:rFonts w:cs="Arial"/>
                <w:sz w:val="24"/>
                <w:szCs w:val="24"/>
              </w:rPr>
              <w:t xml:space="preserve"> and </w:t>
            </w:r>
            <w:proofErr w:type="spellStart"/>
            <w:r w:rsidRPr="00861C05">
              <w:rPr>
                <w:rFonts w:cs="Arial"/>
                <w:sz w:val="24"/>
                <w:szCs w:val="24"/>
              </w:rPr>
              <w:t>Gracia</w:t>
            </w:r>
            <w:proofErr w:type="spellEnd"/>
            <w:r w:rsidRPr="00861C05">
              <w:rPr>
                <w:rFonts w:cs="Arial"/>
                <w:sz w:val="24"/>
                <w:szCs w:val="24"/>
              </w:rPr>
              <w:t xml:space="preserve"> </w:t>
            </w:r>
            <w:proofErr w:type="spellStart"/>
            <w:r w:rsidRPr="00861C05">
              <w:rPr>
                <w:rFonts w:cs="Arial"/>
                <w:bCs/>
                <w:color w:val="000000"/>
                <w:sz w:val="24"/>
                <w:szCs w:val="24"/>
              </w:rPr>
              <w:t>Marín</w:t>
            </w:r>
            <w:proofErr w:type="spellEnd"/>
            <w:r w:rsidRPr="00861C05">
              <w:rPr>
                <w:rFonts w:cs="Arial"/>
                <w:bCs/>
                <w:color w:val="000000"/>
                <w:sz w:val="24"/>
                <w:szCs w:val="24"/>
              </w:rPr>
              <w:t xml:space="preserve"> </w:t>
            </w:r>
            <w:proofErr w:type="spellStart"/>
            <w:r w:rsidRPr="00861C05">
              <w:rPr>
                <w:rFonts w:cs="Arial"/>
                <w:bCs/>
                <w:color w:val="000000"/>
                <w:sz w:val="24"/>
                <w:szCs w:val="24"/>
              </w:rPr>
              <w:t>Durán</w:t>
            </w:r>
            <w:proofErr w:type="spellEnd"/>
            <w:r w:rsidRPr="00861C05">
              <w:rPr>
                <w:rFonts w:cs="Arial"/>
                <w:bCs/>
                <w:color w:val="000000"/>
                <w:sz w:val="24"/>
                <w:szCs w:val="24"/>
              </w:rPr>
              <w:t>, Environmental Integration in the EU’s External Relations (Hart Publishing 2012)</w:t>
            </w:r>
          </w:p>
          <w:p w14:paraId="2DB3AB91" w14:textId="77777777" w:rsidR="00104778" w:rsidRPr="00E623E1" w:rsidRDefault="00104778"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104778" w:rsidRPr="0019680F" w14:paraId="26C1A3B9"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3CACE35"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Αξιολόγηση</w:t>
            </w:r>
          </w:p>
        </w:tc>
        <w:tc>
          <w:tcPr>
            <w:tcW w:w="6983" w:type="dxa"/>
            <w:gridSpan w:val="5"/>
            <w:noWrap/>
          </w:tcPr>
          <w:p w14:paraId="06558500" w14:textId="77777777" w:rsidR="00104778" w:rsidRPr="007551D0" w:rsidRDefault="00104778" w:rsidP="00104778">
            <w:pPr>
              <w:numPr>
                <w:ilvl w:val="0"/>
                <w:numId w:val="7"/>
              </w:numPr>
              <w:spacing w:before="120" w:after="0"/>
              <w:ind w:left="0" w:hanging="357"/>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7551D0">
              <w:rPr>
                <w:rFonts w:cs="Arial"/>
                <w:sz w:val="24"/>
                <w:szCs w:val="24"/>
                <w:lang w:val="el-GR"/>
              </w:rPr>
              <w:t>Εκπόνηση γραπτής εργασίας</w:t>
            </w:r>
            <w:r w:rsidRPr="007551D0">
              <w:rPr>
                <w:rFonts w:cs="Arial"/>
                <w:sz w:val="24"/>
                <w:szCs w:val="24"/>
                <w:lang w:val="el-GR"/>
              </w:rPr>
              <w:tab/>
              <w:t xml:space="preserve">            40% </w:t>
            </w:r>
          </w:p>
          <w:p w14:paraId="19DBF7E4" w14:textId="77777777" w:rsidR="00104778" w:rsidRPr="007551D0" w:rsidRDefault="00104778" w:rsidP="004B0C30">
            <w:pPr>
              <w:pStyle w:val="ListParagraph"/>
              <w:spacing w:before="120" w:after="120"/>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proofErr w:type="spellStart"/>
            <w:r w:rsidRPr="007551D0">
              <w:rPr>
                <w:rFonts w:cs="Arial"/>
                <w:sz w:val="24"/>
                <w:szCs w:val="24"/>
                <w:lang w:val="el-GR"/>
              </w:rPr>
              <w:t>Τελικη</w:t>
            </w:r>
            <w:proofErr w:type="spellEnd"/>
            <w:r w:rsidRPr="007551D0">
              <w:rPr>
                <w:rFonts w:cs="Arial"/>
                <w:sz w:val="24"/>
                <w:szCs w:val="24"/>
                <w:lang w:val="el-GR"/>
              </w:rPr>
              <w:t xml:space="preserve">́ </w:t>
            </w:r>
            <w:proofErr w:type="spellStart"/>
            <w:r w:rsidRPr="007551D0">
              <w:rPr>
                <w:rFonts w:cs="Arial"/>
                <w:sz w:val="24"/>
                <w:szCs w:val="24"/>
                <w:lang w:val="el-GR"/>
              </w:rPr>
              <w:t>γραπτη</w:t>
            </w:r>
            <w:proofErr w:type="spellEnd"/>
            <w:r w:rsidRPr="007551D0">
              <w:rPr>
                <w:rFonts w:cs="Arial"/>
                <w:sz w:val="24"/>
                <w:szCs w:val="24"/>
                <w:lang w:val="el-GR"/>
              </w:rPr>
              <w:t xml:space="preserve">́ </w:t>
            </w:r>
            <w:proofErr w:type="spellStart"/>
            <w:r w:rsidRPr="007551D0">
              <w:rPr>
                <w:rFonts w:cs="Arial"/>
                <w:sz w:val="24"/>
                <w:szCs w:val="24"/>
                <w:lang w:val="el-GR"/>
              </w:rPr>
              <w:t>εξέταση</w:t>
            </w:r>
            <w:proofErr w:type="spellEnd"/>
            <w:r w:rsidRPr="007551D0">
              <w:rPr>
                <w:rFonts w:cs="Arial"/>
                <w:sz w:val="24"/>
                <w:szCs w:val="24"/>
                <w:lang w:val="el-GR"/>
              </w:rPr>
              <w:t xml:space="preserve">  </w:t>
            </w:r>
            <w:r w:rsidRPr="007551D0">
              <w:rPr>
                <w:rFonts w:cs="Arial"/>
                <w:sz w:val="24"/>
                <w:szCs w:val="24"/>
                <w:lang w:val="el-GR"/>
              </w:rPr>
              <w:tab/>
              <w:t xml:space="preserve">            60%</w:t>
            </w:r>
          </w:p>
        </w:tc>
      </w:tr>
      <w:tr w:rsidR="00104778" w:rsidRPr="00296DA9" w14:paraId="2573B64F"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DB2A507" w14:textId="77777777" w:rsidR="00104778" w:rsidRPr="00296DA9" w:rsidRDefault="00104778" w:rsidP="004B0C30">
            <w:pPr>
              <w:spacing w:before="120" w:after="120"/>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7971FFEA" w14:textId="77777777" w:rsidR="00104778" w:rsidRPr="00296DA9" w:rsidRDefault="00104778"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6325C9BE" w14:textId="77777777" w:rsidR="00C242F7" w:rsidRDefault="0045219B"/>
    <w:sectPr w:rsidR="00C242F7" w:rsidSect="007F408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8660D"/>
    <w:multiLevelType w:val="hybridMultilevel"/>
    <w:tmpl w:val="49B2B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87194"/>
    <w:multiLevelType w:val="hybridMultilevel"/>
    <w:tmpl w:val="9B14E746"/>
    <w:lvl w:ilvl="0" w:tplc="006C99E2">
      <w:start w:val="1"/>
      <w:numFmt w:val="decimal"/>
      <w:lvlText w:val="%1."/>
      <w:lvlJc w:val="left"/>
      <w:pPr>
        <w:tabs>
          <w:tab w:val="num" w:pos="720"/>
        </w:tabs>
        <w:ind w:left="720" w:hanging="360"/>
      </w:pPr>
      <w:rPr>
        <w:rFonts w:cs="Times New Roman"/>
        <w:b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DB52656"/>
    <w:multiLevelType w:val="hybridMultilevel"/>
    <w:tmpl w:val="F322183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43014B5E"/>
    <w:multiLevelType w:val="hybridMultilevel"/>
    <w:tmpl w:val="1FFC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534340"/>
    <w:multiLevelType w:val="hybridMultilevel"/>
    <w:tmpl w:val="40E2919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88499B"/>
    <w:multiLevelType w:val="hybridMultilevel"/>
    <w:tmpl w:val="08DC4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6D5289"/>
    <w:multiLevelType w:val="hybridMultilevel"/>
    <w:tmpl w:val="5BEAB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778"/>
    <w:rsid w:val="00104778"/>
    <w:rsid w:val="0011062B"/>
    <w:rsid w:val="0045219B"/>
    <w:rsid w:val="004F1779"/>
    <w:rsid w:val="00521159"/>
    <w:rsid w:val="007B7897"/>
    <w:rsid w:val="007F408D"/>
    <w:rsid w:val="00857D53"/>
    <w:rsid w:val="009A5126"/>
    <w:rsid w:val="009B02EB"/>
    <w:rsid w:val="00BC3FC6"/>
    <w:rsid w:val="00C603AF"/>
    <w:rsid w:val="00F6418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3CCCF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4778"/>
    <w:pPr>
      <w:spacing w:before="200" w:after="200" w:line="276" w:lineRule="auto"/>
    </w:pPr>
    <w:rPr>
      <w:rFonts w:eastAsiaTheme="minorEastAsia"/>
      <w:sz w:val="20"/>
      <w:szCs w:val="20"/>
    </w:rPr>
  </w:style>
  <w:style w:type="paragraph" w:styleId="Heading1">
    <w:name w:val="heading 1"/>
    <w:basedOn w:val="Normal"/>
    <w:next w:val="Normal"/>
    <w:link w:val="Heading1Char"/>
    <w:uiPriority w:val="9"/>
    <w:qFormat/>
    <w:rsid w:val="001047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047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04778"/>
    <w:rPr>
      <w:caps/>
      <w:color w:val="1F3763" w:themeColor="accent1" w:themeShade="7F"/>
      <w:spacing w:val="5"/>
    </w:rPr>
  </w:style>
  <w:style w:type="paragraph" w:styleId="ListParagraph">
    <w:name w:val="List Paragraph"/>
    <w:basedOn w:val="Normal"/>
    <w:uiPriority w:val="34"/>
    <w:qFormat/>
    <w:rsid w:val="00104778"/>
    <w:pPr>
      <w:ind w:left="720"/>
      <w:contextualSpacing/>
    </w:pPr>
  </w:style>
  <w:style w:type="character" w:customStyle="1" w:styleId="Heading1Char">
    <w:name w:val="Heading 1 Char"/>
    <w:basedOn w:val="DefaultParagraphFont"/>
    <w:link w:val="Heading1"/>
    <w:uiPriority w:val="9"/>
    <w:rsid w:val="00104778"/>
    <w:rPr>
      <w:rFonts w:asciiTheme="majorHAnsi" w:eastAsiaTheme="majorEastAsia" w:hAnsiTheme="majorHAnsi" w:cstheme="majorBidi"/>
      <w:color w:val="2F5496" w:themeColor="accent1" w:themeShade="BF"/>
      <w:sz w:val="32"/>
      <w:szCs w:val="32"/>
    </w:rPr>
  </w:style>
  <w:style w:type="paragraph" w:styleId="TOCHeading">
    <w:name w:val="TOC Heading"/>
    <w:aliases w:val="mathimata"/>
    <w:basedOn w:val="Heading2"/>
    <w:next w:val="Normal"/>
    <w:uiPriority w:val="39"/>
    <w:unhideWhenUsed/>
    <w:qFormat/>
    <w:rsid w:val="00104778"/>
    <w:pPr>
      <w:keepNext w:val="0"/>
      <w:keepLines w:val="0"/>
      <w:shd w:val="clear" w:color="auto" w:fill="DEEAF6" w:themeFill="accent5" w:themeFillTint="33"/>
      <w:spacing w:before="200"/>
      <w:jc w:val="both"/>
      <w:outlineLvl w:val="9"/>
    </w:pPr>
    <w:rPr>
      <w:rFonts w:asciiTheme="minorHAnsi" w:eastAsiaTheme="minorEastAsia" w:hAnsiTheme="minorHAnsi" w:cstheme="minorBidi"/>
      <w:caps/>
      <w:spacing w:val="15"/>
      <w:sz w:val="24"/>
      <w:szCs w:val="22"/>
    </w:rPr>
  </w:style>
  <w:style w:type="table" w:styleId="PlainTable1">
    <w:name w:val="Plain Table 1"/>
    <w:basedOn w:val="TableNormal"/>
    <w:uiPriority w:val="41"/>
    <w:rsid w:val="00104778"/>
    <w:pPr>
      <w:spacing w:before="200"/>
    </w:pPr>
    <w:rPr>
      <w:rFonts w:eastAsiaTheme="minorEastAsia"/>
      <w:sz w:val="22"/>
      <w:szCs w:val="22"/>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Indent">
    <w:name w:val="Body Text Indent"/>
    <w:basedOn w:val="Normal"/>
    <w:link w:val="BodyTextIndentChar"/>
    <w:uiPriority w:val="99"/>
    <w:unhideWhenUsed/>
    <w:rsid w:val="00104778"/>
    <w:pPr>
      <w:spacing w:after="120"/>
      <w:ind w:left="283"/>
    </w:pPr>
  </w:style>
  <w:style w:type="character" w:customStyle="1" w:styleId="BodyTextIndentChar">
    <w:name w:val="Body Text Indent Char"/>
    <w:basedOn w:val="DefaultParagraphFont"/>
    <w:link w:val="BodyTextIndent"/>
    <w:uiPriority w:val="99"/>
    <w:rsid w:val="00104778"/>
    <w:rPr>
      <w:rFonts w:eastAsiaTheme="minorEastAsia"/>
      <w:sz w:val="20"/>
      <w:szCs w:val="20"/>
    </w:rPr>
  </w:style>
  <w:style w:type="paragraph" w:styleId="HTMLPreformatted">
    <w:name w:val="HTML Preformatted"/>
    <w:basedOn w:val="Normal"/>
    <w:link w:val="HTMLPreformattedChar"/>
    <w:uiPriority w:val="99"/>
    <w:unhideWhenUsed/>
    <w:rsid w:val="00104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rsid w:val="00104778"/>
    <w:rPr>
      <w:rFonts w:ascii="Courier New" w:eastAsia="Times New Roman" w:hAnsi="Courier New" w:cs="Courier New"/>
      <w:sz w:val="20"/>
      <w:szCs w:val="20"/>
      <w:lang w:val="en-GB"/>
    </w:rPr>
  </w:style>
  <w:style w:type="character" w:customStyle="1" w:styleId="Heading2Char">
    <w:name w:val="Heading 2 Char"/>
    <w:basedOn w:val="DefaultParagraphFont"/>
    <w:link w:val="Heading2"/>
    <w:uiPriority w:val="9"/>
    <w:semiHidden/>
    <w:rsid w:val="0010477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841</Words>
  <Characters>4794</Characters>
  <Application>Microsoft Macintosh Word</Application>
  <DocSecurity>0</DocSecurity>
  <Lines>39</Lines>
  <Paragraphs>11</Paragraphs>
  <ScaleCrop>false</ScaleCrop>
  <LinksUpToDate>false</LinksUpToDate>
  <CharactersWithSpaces>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Constantinides</dc:creator>
  <cp:keywords/>
  <dc:description/>
  <cp:lastModifiedBy>Aris Constantinides</cp:lastModifiedBy>
  <cp:revision>2</cp:revision>
  <dcterms:created xsi:type="dcterms:W3CDTF">2018-08-19T16:22:00Z</dcterms:created>
  <dcterms:modified xsi:type="dcterms:W3CDTF">2018-08-19T16:22:00Z</dcterms:modified>
</cp:coreProperties>
</file>